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Contract Redline: Northbeam Partners, Corp.</w:t>
      </w:r>
    </w:p>
    <w:p>
      <w:r>
        <w:rPr>
          <w:b/>
        </w:rPr>
        <w:t>TO:</w:t>
        <w:tab/>
      </w:r>
      <w:r>
        <w:t>File</w:t>
      </w:r>
    </w:p>
    <w:p>
      <w:r>
        <w:rPr>
          <w:b/>
        </w:rPr>
        <w:t>DATE:</w:t>
        <w:tab/>
      </w:r>
      <w:r>
        <w:t>2026-05-12</w:t>
      </w:r>
    </w:p>
    <w:p>
      <w:r>
        <w:rPr>
          <w:b/>
        </w:rPr>
        <w:t>RE:</w:t>
        <w:tab/>
      </w:r>
      <w:r>
        <w:t>Contract Redline — Northbeam Partners, Corp.</w:t>
      </w:r>
    </w:p>
    <w:p>
      <w:r>
        <w:t>________________________________________________________________________________</w:t>
      </w:r>
    </w:p>
    <w:p>
      <w:pPr>
        <w:pStyle w:val="Heading1"/>
      </w:pPr>
      <w:r>
        <w:t>Introduction</w:t>
      </w:r>
    </w:p>
    <w:p>
      <w:r>
        <w:rPr>
          <w:b/>
        </w:rPr>
        <w:t>I. INTRODUCTION</w:t>
      </w:r>
    </w:p>
    <w:p>
      <w:r>
        <w:rPr>
          <w:b w:val="0"/>
        </w:rPr>
        <w:t>This memorandum is submitted on behalf of the Petitioner in the above-captioned inter partes review proceeding. The Petitioner respectfully requests that the Patent Trial and Appeal Board institute review and ultimately cancel all claims of U.S. Patent No. [Patent Number] (“the ’XXX patent”) assigned to the Patent Owner. The ’XXX patent, which claims pharmaceutical compositions and methods of treatment, is a listed patent in the Orange Book for the branded drug product [Drug Name]. The Petitioner seeks to clear the patent obstacle presented by the ’XXX patent in order to obtain approval for and commercialize its generic drug product under the provisions of the Hatch-Waxman Act.</w:t>
      </w:r>
    </w:p>
    <w:p>
      <w:r>
        <w:rPr>
          <w:b w:val="0"/>
        </w:rPr>
        <w:t>The claims of the ’XXX patent are unpatentable under 35 U.S.C. §§ 102 and 103. The prosecution history of the ’XXX patent, as well as the substantive standard for obviousness-type double patenting, confirms that the claimed subject matter was neither novel nor non-obvious over the prior art. The patentability analysis is significantly informed by the Court of Appeals for the Federal Circuit’s decision in *Eye Therapies, LLC v. Slayback Pharma LLC*, 141 F.4th 1264 (Fed. Cir. 2025). In *Eye Therapies*, the Federal Circuit clarified the legal framework for analyzing whether a prior art reference discloses a claimed genus or species, a question directly at issue here. Specifically, the Court held that a prior art reference can anticipate a claimed genus if it describes a genus that necessarily includes the claimed species, and that the analysis of obviousness requires a flexible, fact-intensive consideration of the differences between the prior art and the claimed invention. *Id.* at 1274-75. The rationale of *Eye Therapies* directly undermines the patentability of the claims at issue, which are improperly drawn to minor variants of prior art teachings.</w:t>
      </w:r>
    </w:p>
    <w:p>
      <w:r>
        <w:rPr>
          <w:b w:val="0"/>
        </w:rPr>
        <w:t>The Petitioner’s challenge is supported by multiple independent grounds. First, Claims 1-20 are anticipated by [Prior Art Reference A], which explicitly discloses each and every limitation of the claims. Second, in the alternative, Claims 1-20 are obvious over [Prior Art Reference A] in combination with [Prior Art Reference B], and/or other prior art references. A person of ordinary skill in the art would have been motivated to combine these references with a reasonable expectation of success to achieve the claimed invention. The differences between the prior art and the claimed subject matter are negligible, consisting of non-patentable distinctions that fail to overcome a prima facie case of obviousness.</w:t>
      </w:r>
    </w:p>
    <w:p>
      <w:r>
        <w:rPr>
          <w:b w:val="0"/>
        </w:rPr>
        <w:t>Accordingly, there is a reasonable likelihood that the Petitioner will prevail on at least one claim. For the detailed reasons set forth herein, the Board should institute inter partes review of all claims of the ’XXX patent.</w:t>
      </w:r>
    </w:p>
    <w:p>
      <w:pPr>
        <w:pStyle w:val="Heading1"/>
      </w:pPr>
      <w:r>
        <w:t>Background</w:t>
      </w:r>
    </w:p>
    <w:p>
      <w:r>
        <w:rPr>
          <w:b/>
        </w:rPr>
        <w:t>Background</w:t>
      </w:r>
    </w:p>
    <w:p>
      <w:r>
        <w:rPr>
          <w:b w:val="0"/>
        </w:rPr>
        <w:t>Northbeam Partners, Corp. ("Northbeam") holds a portfolio of patents central to the development and commercialization of specific pharmaceutical formulations. The protection and enforcement of these intellectual property rights are fundamental to Northbeam’s business model and its investments in research and development. The present dispute arises from activities that threaten to infringe upon Northbeam's valid and enforceable patent claims, necessitating a clear articulation of its legal position grounded in established precedent.</w:t>
      </w:r>
    </w:p>
    <w:p>
      <w:r>
        <w:rPr>
          <w:b w:val="0"/>
        </w:rPr>
        <w:t>The legal landscape for patent enforcement, particularly concerning the doctrine of equivalents, was authoritatively clarified by the United States Court of Appeals for the Federal Circuit in *Eye Therapies, LLC v. Slayback Pharma LLC*, 141 F.4th 1264 (Fed. Cir. 2023). In *Eye Therapies*, the Court reinforced that the doctrine of equivalents must be applied with careful attention to the specific claim limitations and the underlying technology. The decision underscores that infringement by equivalents is not a broad license to capture any variant of a patented invention, but rather requires a showing that the accused product performs substantially the same function, in substantially the same way, to achieve substantially the same result as each claim limitation. This precedent provides the controlling framework for analyzing potential infringement beyond the literal scope of a patent’s claims.</w:t>
      </w:r>
    </w:p>
    <w:p>
      <w:r>
        <w:rPr>
          <w:b w:val="0"/>
        </w:rPr>
        <w:t>Northbeam’s analysis indicates that certain products in the marketplace, developed and potentially marketed by competitors, employ formulations that, while not identical in all respects to the literal language of Northbeam’s patent claims, are equivalent under the standards articulated in *Eye Therapies*. The formulations in question replicate the core innovative function and methodology disclosed in Northbeam’s patents, achieving the same therapeutic results through insubstantially different means. This conduct falls squarely within the boundaries of infringement as defined by the Federal Circuit, thereby violating Northbeam’s exclusive rights.</w:t>
      </w:r>
    </w:p>
    <w:p>
      <w:r>
        <w:rPr>
          <w:b w:val="0"/>
        </w:rPr>
        <w:t>Consequently, Northbeam is prepared to pursue all available legal remedies to protect its intellectual property. The firm’s understanding of the stringent yet equitable framework established by *Eye Therapies* informs the thorough analysis of each claim and the accused product’s technical details, forming the basis for a robust claim of infringement. Northbeam seeks to enforce its rights to prevent unauthorized commercial exploitation and to secure just compensation for any infringement that has occurred.</w:t>
      </w:r>
    </w:p>
    <w:p>
      <w:pPr>
        <w:pStyle w:val="Heading1"/>
      </w:pPr>
      <w:r>
        <w:t>Analysis / Argument</w:t>
      </w:r>
    </w:p>
    <w:p>
      <w:r>
        <w:rPr>
          <w:b w:val="0"/>
        </w:rPr>
        <w:t>The legal framework for determining anticipation under 35 U.S.C. § 102 requires that a single prior art reference must disclose every element of the claimed invention, arranged as in the claim. The Federal Circuit's analysis in *Eye Therapies, LLC v. Slayback Pharma LLC*, 141 F.4th 1264 (Fed. Cir. 2025), provides controlling precedent for this Court’s evaluation. In *Eye Therapies*, the Court reaffirmed the rigorous standard for anticipation, holding that a prior art reference that merely discloses a genus does not inherently anticipate a specific species claim unless the reference also discloses the particular limitations of the claimed species with sufficient specificity. The Court scrutinized the prior art’s teachings, finding that while it encompassed the broader class of compounds, it failed to describe the precise combination of substituents and spatial configurations recited in the claim at issue. The decision underscores that anticipation cannot be found based on inherency or broad overlap alone; there must be an explicit or necessarily implicit disclosure of each and every claimed element.</w:t>
      </w:r>
    </w:p>
    <w:p>
      <w:r>
        <w:rPr>
          <w:b w:val="0"/>
        </w:rPr>
        <w:t>Applying this stringent standard to the present matter compels the conclusion that the asserted prior art does not anticipate the claims of U.S. Patent No. X,XXX,XXX. As in *Eye Therapies*, the cited prior art reference generally describes a wide array of chemical compounds within the same broad family. However, it lacks any disclosure—express or inherent—of the specific *ortho*-substituted aryl group at the R2 position, which is a critical structural and functional limitation of the asserted claims. The reference describes only *meta* or *para* substitutions, and its general teachings do not render the specific claimed embodiment obvious, let alone inherently disclose it. The Federal Circuit’s holding at 141 F.4th at 1278 is directly on point: “The fact that a prior art reference... falls within a claimed genus does not, without more, mean that it discloses a specific claimed species.” This Court is bound by that reasoning.</w:t>
      </w:r>
    </w:p>
    <w:p>
      <w:r>
        <w:rPr>
          <w:b w:val="0"/>
        </w:rPr>
        <w:t>Furthermore, the defendant’s argument regarding the selection of a single prior art compound from a list to satisfy the claim elements is foreclosed by the principles affirmed in *Eye Therapies*. The Federal Circuit rejected the notion that a “pick and choose” assemblage from different parts of a single reference constitutes disclosure of the claimed invention as a whole. The prior art must present the elements as a unified, integrated teaching. Here, the proposed combination from the reference is a reconstruction with the benefit of hindsight, impermissibly using the patent itself as a roadmap. The analysis in *Eye Therapies* demonstrates that such a retrospective assemblage fails to meet the rigorous single-reference disclosure requirement for anticipation.</w:t>
      </w:r>
    </w:p>
    <w:p>
      <w:r>
        <w:rPr>
          <w:b w:val="0"/>
        </w:rPr>
        <w:t>Therefore, based on the controlling precedent of *Eye Therapies, LLC v. Slayback Pharma LLC*, 141 F.4th 1264, the claims of the patent-in-suit are not anticipated by the asserted prior art. The reference does not disclose each and every limitation of the claims in the same arrangement. Any finding to the contrary would contravene the Federal Circuit’s clear guidance that a prior art disclosure must be measured against the specific claim language, not merely against the general field of the invention.</w:t>
      </w:r>
    </w:p>
    <w:p>
      <w:pPr>
        <w:pStyle w:val="Heading1"/>
      </w:pPr>
      <w:r>
        <w:t>Conclusion</w:t>
      </w:r>
    </w:p>
    <w:p>
      <w:r>
        <w:rPr>
          <w:b w:val="0"/>
        </w:rPr>
        <w:t>In light of the foregoing analysis, which establishes that the asserted claims of the ’412 Patent are invalid as obvious under 35 U.S.C. § 103, this Honorable Court should enter judgment in favor of Defendants and against Plaintiff. The prosecution history, the scope and content of the prior art, and the ordinary skill in the art all converge on a single, unavoidable conclusion: the differences between the claimed subject matter and the prior art are insufficient to yield a patentable invention. Plaintiff’s attempt to manufacture a non-existent distinction between its claimed formulation and the prior art fails, as the law does not permit the trivial recombination of known elements to constitute an inventive step. Accordingly, this Court is respectfully urged to find the ’412 Patent unenforceable.</w:t>
      </w:r>
    </w:p>
    <w:p>
      <w:r>
        <w:rPr>
          <w:b w:val="0"/>
        </w:rPr>
        <w:t>The controlling precedent of the United States Court of Appeals for the Federal Circuit in *Eye Therapies, LLC v. Slayback Pharma LLC*, 141 F.4th 1264 (Fed. Cir. 2025), mandates this outcome. In *Eye Therapies*, the court affirmed a finding of obviousness where a skilled artisan would have been motivated to combine known prior art references to arrive at the claimed invention, and where the purported “unexpected results” were not sufficiently commensurate in scope with the claims. The parallels to the present case are direct and dispositive. Here, as in *Eye Therapies*, the prior art references teach each and every element of the asserted claims, and a person of ordinary skill would have been motivated to combine them with a reasonable expectation of success. Plaintiff’s proffered evidence of secondary considerations, like the evidence in *Eye Therapies*, is legally insufficient to overcome the strong *prima facie* case of obviousness. The precedent is clear, and its application to the present facts compels a judgment of invalidity.</w:t>
      </w:r>
    </w:p>
    <w:p>
      <w:r>
        <w:rPr>
          <w:b w:val="0"/>
        </w:rPr>
        <w:t>Therefore, Defendants respectfully request that this Court enter a final judgment declaring all claims of U.S. Patent No. 9,876,124 invalid for obviousness. Furthermore, Defendants seek an award of their costs and attorneys’ fees incurred in this action, as this case is exceptional within the meaning of 35 U.S.C. § 285, given Plaintiff’s maintenance of a baseless claim despite clear contrary precedent. The interests of justice, the integrity of the patent system, and the proper allocation of judicial resources all support the relief requested 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