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 - Chevron Corporation</w:t>
      </w:r>
    </w:p>
    <w:p>
      <w:r>
        <w:rPr>
          <w:b/>
        </w:rPr>
        <w:t>TO:</w:t>
        <w:tab/>
      </w:r>
      <w:r>
        <w:t>Credit Committee</w:t>
      </w:r>
    </w:p>
    <w:p>
      <w:r>
        <w:rPr>
          <w:b/>
        </w:rPr>
        <w:t>FROM:</w:t>
        <w:tab/>
      </w:r>
      <w:r>
        <w:t>Senior Credit Analyst, Energy Portfolio Team</w:t>
      </w:r>
    </w:p>
    <w:p>
      <w:r>
        <w:rPr>
          <w:b/>
        </w:rPr>
        <w:t>DATE:</w:t>
        <w:tab/>
      </w:r>
      <w:r>
        <w:t>May 2026</w:t>
      </w:r>
    </w:p>
    <w:p>
      <w:r>
        <w:rPr>
          <w:b/>
        </w:rPr>
        <w:t>RE:</w:t>
        <w:tab/>
      </w:r>
      <w:r>
        <w:t>Credit Review - Chevron Corporation (CVX)</w:t>
      </w:r>
    </w:p>
    <w:p>
      <w:r>
        <w:t>________________________________________________________________________________</w:t>
      </w:r>
    </w:p>
    <w:p>
      <w:pPr>
        <w:pStyle w:val="Heading1"/>
      </w:pPr>
      <w:r>
        <w:t>Executive Summary</w:t>
      </w:r>
    </w:p>
    <w:p>
      <w:r>
        <w:rPr>
          <w:b w:val="0"/>
        </w:rPr>
        <w:t>Chevron Corporation (NYSE: CVX) maintains a strong credit profile supported by a robust balance sheet and consistent profitability, despite a moderation in quarterly revenues during Q1 2026. The company reported total revenues of $48.6 billion in Q1 2026, representing a decline from the implied Q4 2025 figure, yet net income remained solid at $2.2 billion with diluted EPS of $1.11. Stockholders' equity stood at $183.7 billion as of March 31, 2026, and total assets grew to $329.6 billion, reflecting continued investment in upstream and downstream assets. The overall credit outlook is stable, supported by Chevron's diversified operations, manageable leverage, and strong cash generation capacity relative to its debt obligations.</w:t>
      </w:r>
    </w:p>
    <w:p>
      <w:pPr>
        <w:pStyle w:val="Heading1"/>
      </w:pPr>
      <w:r>
        <w:t>Financial Performance Analysis</w:t>
      </w:r>
    </w:p>
    <w:p>
      <w:r>
        <w:rPr>
          <w:b w:val="0"/>
        </w:rPr>
        <w:t>Chevron's quarterly revenue trajectory shows the following progression using available single-quarter data: Q3 2025 revenues were $49.7 billion and Q1 2026 revenues were $48.6 billion. The YTD through Q2 2025 was $92.4 billion, and the YTD through Q3 2025 was $142.2 billion, implying Q3 2025 single-quarter revenue of approximately $49.7 billion. The FY 2025 full-year revenue of $189.0 billion implies Q4 2025 revenue of approximately $46.9 billion ($189.0B - $142.2B). The quarterly pattern suggests a slight sequential decline from Q3 2025 to Q4 2025, followed by a stabilization in Q1 2026 at $48.6 billion.</w:t>
      </w:r>
    </w:p>
    <w:p>
      <w:r>
        <w:rPr>
          <w:b w:val="0"/>
        </w:rPr>
        <w:t>Gross margin analysis reveals that Chevron maintained healthy profitability at the gross level. In Q1 2026, cost of goods and services sold was $28.3 billion against revenues of $48.6 billion, yielding a gross margin of approximately 41.8%. For Q3 2025, cost of goods was $27.4 billion on revenues of $49.7 billion, implying a gross margin of approximately 44.9%. The full-year 2025 gross margin, calculated from revenues of $189.0 billion and costs of $108.2 billion, was approximately 42.8%. The modest compression in Q1 2026 gross margin relative to Q3 2025 warrants monitoring but remains within acceptable ranges for the integrated energy sector.</w:t>
      </w:r>
    </w:p>
    <w:p>
      <w:r>
        <w:rPr>
          <w:b w:val="0"/>
        </w:rPr>
        <w:t>Net income declined sequentially from Q3 2025's $3.5 billion to Q1 2026's $2.2 billion, a decrease of approximately 37%. Diluted EPS followed a similar trajectory, falling from $1.82 in Q3 2025 to $1.11 in Q1 2026. The full-year 2025 net income was $12.3 billion with diluted EPS of $6.63. The implied Q4 2025 net income was approximately $2.8 billion ($12.3B - $9.5B YTD through Q3). The quarterly decline in profitability reflects lower commodity price realizations and increased operating costs, though the company remains solidly profitable.</w:t>
      </w:r>
    </w:p>
    <w:p>
      <w:r>
        <w:rPr>
          <w:b w:val="0"/>
        </w:rPr>
        <w:t>SG&amp;A expense as a percentage of revenue remained well-controlled. In Q1 2026, SG&amp;A was $1.07 billion on revenues of $48.6 billion, representing 2.2% of revenue. In Q3 2025, SG&amp;A was $1.52 billion on revenues of $49.7 billion, or 3.1% of revenue. The full-year 2025 SG&amp;A ratio was 2.7% ($5.1 billion on $189.0 billion in revenues). The lower Q1 2026 SG&amp;A ratio indicates effective cost discipline, which partially offsets gross margin compression.</w:t>
      </w:r>
    </w:p>
    <w:p>
      <w:pPr>
        <w:pStyle w:val="Heading1"/>
      </w:pPr>
      <w:r>
        <w:t>Leverage and Balance Sheet Strength</w:t>
      </w:r>
    </w:p>
    <w:p>
      <w:r>
        <w:rPr>
          <w:b w:val="0"/>
        </w:rPr>
        <w:t>As of Q1 2026, Chevron's total liabilities were $140.2 billion against stockholders' equity of $183.7 billion, yielding a total debt-to-equity ratio of approximately 0.76x. This ratio indicates that the company funds a significant portion of its asset base with equity rather than debt, a credit-positive characteristic. Total assets of $329.6 billion provide an asset coverage ratio of 2.35x relative to total liabilities, demonstrating that assets substantially exceed liabilities.</w:t>
      </w:r>
    </w:p>
    <w:p>
      <w:r>
        <w:rPr>
          <w:b w:val="0"/>
        </w:rPr>
        <w:t>Stockholders' equity decreased modestly from $186.5 billion at FY 2025 year-end to $183.7 billion at Q1 2026, a decline of approximately $2.8 billion or 1.5%. This reduction likely reflects share repurchase activity and dividend payments that exceeded the period's net income of $2.2 billion. While the trend bears monitoring, the absolute level of equity remains substantial.</w:t>
      </w:r>
    </w:p>
    <w:p>
      <w:r>
        <w:rPr>
          <w:b w:val="0"/>
        </w:rPr>
        <w:t>Cash and cash equivalents data available from the filing shows $8.2 billion at FY 2023 year-end and $4.0 billion as of Q2 2024, indicating a drawdown in liquidity reserves during that period. More recent cash data is not available in the provided dataset, but the company's strong operating cash flows from its integrated operations suggest adequate liquidity to meet near-term obligations. The asset base grew from $324.0 billion at FY 2025 to $329.6 billion at Q1 2026, an increase of $5.5 billion, reflecting ongoing capital investment.</w:t>
      </w:r>
    </w:p>
    <w:p>
      <w:r>
        <w:rPr>
          <w:b w:val="0"/>
        </w:rPr>
        <w:t>The leverage profile is consistent with investment-grade credit quality. Chevron's ability to generate substantial free cash flow from its upstream production and downstream refining operations provides a natural hedge against commodity price volatility. The company's R&amp;D spending increased from $320 million in FY 2023 to $353 million in FY 2024 and further to $427 million in FY 2025, reflecting a 21% increase over two years. This investment in technology and innovation supports long-term competitive positioning but should be evaluated against near-term cash flow generation.</w:t>
      </w:r>
    </w:p>
    <w:p>
      <w:pPr>
        <w:pStyle w:val="Heading1"/>
      </w:pPr>
      <w:r>
        <w:t>Credit Risk Assessment</w:t>
      </w:r>
    </w:p>
    <w:p>
      <w:r>
        <w:rPr>
          <w:b w:val="0"/>
        </w:rPr>
        <w:t>The first key credit risk is commodity price volatility and its direct impact on revenue and profitability. Chevron's revenues are fundamentally tied to crude oil and natural gas prices, which are subject to significant global macroeconomic and geopolitical factors. The sequential decline in quarterly net income from $3.5 billion in Q3 2025 to $2.2 billion in Q1 2026, a 37% decrease, illustrates the sensitivity of earnings to commodity price cycles. While the company's integrated model provides some buffer through downstream margins, the upstream segment remains the primary driver of overall profitability.</w:t>
      </w:r>
    </w:p>
    <w:p>
      <w:r>
        <w:rPr>
          <w:b w:val="0"/>
        </w:rPr>
        <w:t>The second credit risk is the potential for rising operating costs to erode margins. SG&amp;A expenses have shown volatility, ranging from $1.52 billion in Q3 2025 to $1.07 billion in Q1 2026. More significantly, cost of goods and services sold represents the largest expense category, consuming 58% of revenues in Q1 2026 ($28.3 billion of $48.6 billion). Any sustained increase in production costs, labor expenses, or regulatory compliance costs could compress margins further, particularly in a lower commodity price environment.</w:t>
      </w:r>
    </w:p>
    <w:p>
      <w:r>
        <w:rPr>
          <w:b w:val="0"/>
        </w:rPr>
        <w:t>The third credit risk relates to the decline in cash and liquidity reserves. Available data shows cash declining from $8.2 billion at FY 2023 to $4.0 billion at Q2 2024, a drawdown of over 50%. While the company continues to invest heavily in capital projects, evidenced by the growth in total assets from $324.0 billion at FY 2025 to $329.6 billion at Q1 2026, the pace of asset growth must be supported by adequate liquidity. A sustained period of lower commodity prices could strain the company's ability to fund both capital expenditures and shareholder returns without incurring additional debt.</w:t>
      </w:r>
    </w:p>
    <w:p>
      <w:r>
        <w:rPr>
          <w:b w:val="0"/>
        </w:rPr>
        <w:t>Additionally, the increase in R&amp;D spending from $320 million in FY 2023 to $427 million in FY 2025, while positive for long-term competitiveness, represents an incremental cash outflow commitment. This spending must be weighed against the company's broader capital allocation priorities, including the $183.7 billion equity base and the need to maintain investment-grade leverage metrics.</w:t>
      </w:r>
    </w:p>
    <w:p>
      <w:pPr>
        <w:pStyle w:val="Heading1"/>
      </w:pPr>
      <w:r>
        <w:t>Recommendation</w:t>
      </w:r>
    </w:p>
    <w:p>
      <w:r>
        <w:rPr>
          <w:b w:val="0"/>
        </w:rPr>
        <w:t>Based on the analysis of Chevron's Q1 2026 financial data and recent trends, the recommendation is to Maintain Exposure at current levels. This assessment is supported by several factors: the company's strong equity base of $183.7 billion provides a substantial cushion against potential losses; the debt-to-equity ratio of 0.76x remains well within investment-grade parameters; and the company's integrated business model diversifies revenue streams across upstream, downstream, and chemicals operations.</w:t>
      </w:r>
    </w:p>
    <w:p>
      <w:r>
        <w:rPr>
          <w:b w:val="0"/>
        </w:rPr>
        <w:t>The primary considerations supporting this recommendation include Chevron's consistent profitability, with net income of $12.3 billion in FY 2025 and $2.2 billion in Q1 2026, and its demonstrated ability to maintain gross margins above 40% despite commodity price fluctuations. The SG&amp;A discipline evidenced by the 2.2% ratio in Q1 2026 further supports operational efficiency. The asset coverage ratio of 2.35x provides additional comfort regarding the company's ability to absorb potential losses.</w:t>
      </w:r>
    </w:p>
    <w:p>
      <w:r>
        <w:rPr>
          <w:b w:val="0"/>
        </w:rPr>
        <w:t>Key risks to monitor include further deterioration in commodity prices, which could reduce revenues below the $48.6 billion quarterly run-rate observed in Q1 2026, and any acceleration in cash outflows that could weaken liquidity reserves. The credit committee should revisit this assessment if quarterly net income falls below $1.5 billion for two consecutive quarters or if the debt-to-equity ratio exceeds 1.0x. The increase in R&amp;D spending to $427 million in FY 2025 should be tracked to ensure it remains aligned with the company's strategic priorities and does not materially impact near-term cash flow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