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Investment Memo - Coca-Cola Co (KO)</w:t>
      </w:r>
    </w:p>
    <w:p>
      <w:r>
        <w:rPr>
          <w:b/>
        </w:rPr>
        <w:t>TO:</w:t>
        <w:tab/>
      </w:r>
      <w:r>
        <w:t>Investment Committee</w:t>
      </w:r>
    </w:p>
    <w:p>
      <w:r>
        <w:rPr>
          <w:b/>
        </w:rPr>
        <w:t>FROM:</w:t>
        <w:tab/>
      </w:r>
      <w:r>
        <w:t>Equity Research - Consumer Staples</w:t>
      </w:r>
    </w:p>
    <w:p>
      <w:r>
        <w:rPr>
          <w:b/>
        </w:rPr>
        <w:t>DATE:</w:t>
        <w:tab/>
      </w:r>
      <w:r>
        <w:t>May 2026</w:t>
      </w:r>
    </w:p>
    <w:p>
      <w:r>
        <w:rPr>
          <w:b/>
        </w:rPr>
        <w:t>RE:</w:t>
        <w:tab/>
      </w:r>
      <w:r>
        <w:t>Coca-Cola Co (KO) - Q1 2026 Investment Assessment</w:t>
      </w:r>
    </w:p>
    <w:p>
      <w:r>
        <w:t>________________________________________________________________________________</w:t>
      </w:r>
    </w:p>
    <w:p>
      <w:pPr>
        <w:pStyle w:val="Heading1"/>
      </w:pPr>
      <w:r>
        <w:t>Executive Summary</w:t>
      </w:r>
    </w:p>
    <w:p>
      <w:r>
        <w:rPr>
          <w:b w:val="0"/>
        </w:rPr>
        <w:t>Coca-Cola Co (KO) reported Q1 2026 revenue of $12.5 billion, representing a modest sequential increase from the implied Q4 2025 figure of approximately $11.8 billion. The company continues to demonstrate strong profitability, with Q1 2026 net income of $3.9 billion and diluted EPS of $0.91.</w:t>
      </w:r>
    </w:p>
    <w:p>
      <w:r>
        <w:rPr>
          <w:b w:val="0"/>
        </w:rPr>
        <w:t>The company's gross margin expanded to 62.9% in Q1 2026, up from 61.7% in FY 2025, suggesting effective cost management and favorable pricing dynamics. Operating margin remained robust at 34.9% in Q1 2026, reflecting disciplined SG&amp;A spending of $3.5 billion.</w:t>
      </w:r>
    </w:p>
    <w:p>
      <w:r>
        <w:rPr>
          <w:b w:val="0"/>
        </w:rPr>
        <w:t>On the balance sheet, Coca-Cola maintained total assets of $104.2 billion at Q1 2026 with stockholders' equity of $33.6 billion. Cash and cash equivalents stood at $10.6 billion, providing substantial financial flexibility.</w:t>
      </w:r>
    </w:p>
    <w:p>
      <w:r>
        <w:rPr>
          <w:b w:val="0"/>
        </w:rPr>
        <w:t>The most material takeaway for the investment committee is that Coca-Cola is sustaining its premium profitability profile while generating incremental revenue growth, positioning the stock as a defensive holding with stable earnings power in the current market environment.</w:t>
      </w:r>
    </w:p>
    <w:p>
      <w:pPr>
        <w:pStyle w:val="Heading1"/>
      </w:pPr>
      <w:r>
        <w:t>Revenue and Profitability Analysis</w:t>
      </w:r>
    </w:p>
    <w:p>
      <w:r>
        <w:rPr>
          <w:b w:val="0"/>
        </w:rPr>
        <w:t>To establish a complete quarterly trend, we derive Q4 2025 revenue by subtracting YTD Q3 2025 revenue ($36.1 billion) from FY 2025 revenue ($47.9 billion), yielding Q4 2025 revenue of approximately $11.8 billion. This approach is applied consistently across all income statement line items.</w:t>
      </w:r>
    </w:p>
    <w:p>
      <w:r>
        <w:rPr>
          <w:b w:val="0"/>
        </w:rPr>
        <w:t>Revenue progression across the four quarters was as follows: Q2 2025 at $11.2 billion (derived from $23.7B YTD Q2 minus $12.5B Q1 implied), Q3 2025 at $12.5 billion, Q4 2025 at $11.8 billion, and Q1 2026 at $12.5 billion. The company demonstrated relative revenue stability with Q1 2026 matching Q3 2025 levels.</w:t>
      </w:r>
    </w:p>
    <w:p>
      <w:r>
        <w:rPr>
          <w:b w:val="0"/>
        </w:rPr>
        <w:t>Gross margin improved from 61.9% in Q2 2025 to 63.0% in Q3 2025, declined slightly to 61.3% in Q4 2025, and recovered to 62.9% in Q1 2026. The full-year 2025 gross margin was 61.7%, indicating Q1 2026 is running above the annual average.</w:t>
      </w:r>
    </w:p>
    <w:p>
      <w:r>
        <w:rPr>
          <w:b w:val="0"/>
        </w:rPr>
        <w:t>Operating margin showed a declining trend from 33.8% in Q2 2025 to 31.8% in Q4 2025 before recovering sharply to 34.9% in Q1 2026. This recovery was driven by lower SG&amp;A expense of $3.5 billion in Q1 2026 relative to Q4 2025 levels.</w:t>
      </w:r>
    </w:p>
    <w:p>
      <w:r>
        <w:rPr>
          <w:b w:val="0"/>
        </w:rPr>
        <w:t>Net margin followed a similar pattern, ranging from 30.1% in Q2 2025 to 31.4% in Q1 2026. The consistency of net margins above 30% across all four quarters underscores the company's exceptional earnings conversion capability.</w:t>
      </w:r>
    </w:p>
    <w:p>
      <w:pPr>
        <w:pStyle w:val="Heading1"/>
      </w:pPr>
      <w:r>
        <w:t>Earnings Quality and EPS Trend</w:t>
      </w:r>
    </w:p>
    <w:p>
      <w:r>
        <w:rPr>
          <w:b w:val="0"/>
        </w:rPr>
        <w:t>Diluted EPS followed a trajectory of $0.78 in Q2 2025, $0.86 in Q3 2025, $0.53 in implied Q4 2025, and $0.91 in Q1 2026. The Q4 2025 EPS figure is derived from FY 2025 EPS of $3.04 minus YTD Q3 2025 EPS of $2.51.</w:t>
      </w:r>
    </w:p>
    <w:p>
      <w:r>
        <w:rPr>
          <w:b w:val="0"/>
        </w:rPr>
        <w:t>The sharp decline in Q4 2025 EPS to $0.53 warrants attention. This reflects a seasonal pattern or potential year-end adjustments, as Q4 net income was approximately $2.3 billion compared to $3.9 billion in Q1 2026.</w:t>
      </w:r>
    </w:p>
    <w:p>
      <w:r>
        <w:rPr>
          <w:b w:val="0"/>
        </w:rPr>
        <w:t>Comparing net income growth to EPS growth, the Q1 2026 net income of $3.9 billion versus Q4 2025 net income of $2.3 billion represents a 70% sequential increase, while EPS grew from $0.53 to $0.91, a 72% increase. The marginal difference suggests relatively stable diluted share count across periods.</w:t>
      </w:r>
    </w:p>
    <w:p>
      <w:r>
        <w:rPr>
          <w:b w:val="0"/>
        </w:rPr>
        <w:t>The annualized EPS run rate based on Q1 2026 is approximately $3.64 ($0.91 multiplied by 4), which would represent a 20% improvement over FY 2025 EPS of $3.04. While this extrapolation should be interpreted cautiously given seasonality, it signals positive earnings momentum.</w:t>
      </w:r>
    </w:p>
    <w:p>
      <w:pPr>
        <w:pStyle w:val="Heading1"/>
      </w:pPr>
      <w:r>
        <w:t>Balance Sheet Assessment</w:t>
      </w:r>
    </w:p>
    <w:p>
      <w:r>
        <w:rPr>
          <w:b w:val="0"/>
        </w:rPr>
        <w:t>At Q1 2026, Coca-Cola reported total assets of $104.2 billion, stockholders' equity of $33.6 billion, and cash and cash equivalents of $10.6 billion. Compared to FY 2025 year-end, assets declined marginally from $104.8 billion while equity increased from $32.2 billion.</w:t>
      </w:r>
    </w:p>
    <w:p>
      <w:r>
        <w:rPr>
          <w:b w:val="0"/>
        </w:rPr>
        <w:t>The equity-to-assets ratio improved to 32.3% at Q1 2026 from 30.7% at FY 2025, indicating strengthening capitalization. This ratio has shown a consistent upward trend from 27.4% at Q2 2025 and 29.5% at Q3 2025.</w:t>
      </w:r>
    </w:p>
    <w:p>
      <w:r>
        <w:rPr>
          <w:b w:val="0"/>
        </w:rPr>
        <w:t>Cash and cash equivalents increased to $10.6 billion from $10.3 billion at FY 2025 year-end, representing a 3.0% increase. Cash as a percentage of total assets was 10.1% at Q1 2026, providing ample liquidity for operations, dividends, and potential strategic investments.</w:t>
      </w:r>
    </w:p>
    <w:p>
      <w:r>
        <w:rPr>
          <w:b w:val="0"/>
        </w:rPr>
        <w:t>The balance sheet demonstrates financial strength with no apparent leverage concerns. The combination of growing equity, stable assets, and increasing cash reserves positions Coca-Cola favorably to weather economic uncertainty and continue returning capital to shareholders.</w:t>
      </w:r>
    </w:p>
    <w:p>
      <w:pPr>
        <w:pStyle w:val="Heading1"/>
      </w:pPr>
      <w:r>
        <w:t>Key Risks and Considerations</w:t>
      </w:r>
    </w:p>
    <w:p>
      <w:r>
        <w:rPr>
          <w:b w:val="0"/>
        </w:rPr>
        <w:t>Margin Compression Risk: While Q1 2026 margins were strong, the Q4 2025 operating margin of 31.8% represented a notable decline from the FY 2025 average of 28.7%. The company's ability to sustain premium margins depends on continued pricing power and cost discipline, which may face headwinds from inflationary pressures and competitive dynamics in the global beverage market.</w:t>
      </w:r>
    </w:p>
    <w:p>
      <w:r>
        <w:rPr>
          <w:b w:val="0"/>
        </w:rPr>
        <w:t>Revenue Growth Sustainability: Quarterly revenue has fluctuated between $11.2 billion and $12.5 billion over the trailing four quarters without a clear upward trend. The company's ability to achieve consistent organic growth in mature markets remains a key uncertainty, particularly as consumer preferences shift toward healthier beverage alternatives.</w:t>
      </w:r>
    </w:p>
    <w:p>
      <w:r>
        <w:rPr>
          <w:b w:val="0"/>
        </w:rPr>
        <w:t>Q4 Earnings Volatility: The sharp decline in Q4 2025 EPS to $0.53 from $0.86 in Q3 2025 raises questions about earnings predictability. Investors should monitor whether this represents a seasonal pattern or emerging operational challenges that could affect future quarters.</w:t>
      </w:r>
    </w:p>
    <w:p>
      <w:r>
        <w:rPr>
          <w:b w:val="0"/>
        </w:rPr>
        <w:t>SG&amp;A Expense Management: SG&amp;A expense of $14.5 billion in FY 2025 represented 30.3% of revenue. While Q1 2026 SG&amp;A of $3.5 billion was well-controlled, any sustained increase in selling, general, and administrative expenses could pressure operating margins and reduce earnings growth potential.</w:t>
      </w:r>
    </w:p>
    <w:p>
      <w:pPr>
        <w:pStyle w:val="Heading1"/>
      </w:pPr>
      <w:r>
        <w:t>Investment Recommendation</w:t>
      </w:r>
    </w:p>
    <w:p>
      <w:r>
        <w:rPr>
          <w:b w:val="0"/>
        </w:rPr>
        <w:t>We recommend a HOLD rating for Coca-Cola Co (KO) at this time. While the company demonstrates exceptional profitability and a strengthening balance sheet, the lack of visible revenue growth and Q4 earnings volatility temper our enthusiasm for an outright Buy recommendation.</w:t>
      </w:r>
    </w:p>
    <w:p>
      <w:r>
        <w:rPr>
          <w:b w:val="0"/>
        </w:rPr>
        <w:t>Supporting this position, Coca-Cola's Q1 2026 gross margin of 62.9% and net margin of 31.4% are best-in-class within the consumer staples sector. The equity-to-assets ratio improvement to 32.3% and cash position of $10.6 billion provide a solid financial foundation.</w:t>
      </w:r>
    </w:p>
    <w:p>
      <w:r>
        <w:rPr>
          <w:b w:val="0"/>
        </w:rPr>
        <w:t>However, the flat revenue trajectory across recent quarters ($11.2B to $12.5B range) and the significant Q4 2025 EPS decline to $0.53 suggest limited near-term catalysts for multiple expansion. The annualized EPS run rate of $3.64 based on Q1 2026 would represent improvement, but this needs to be validated over subsequent quarters.</w:t>
      </w:r>
    </w:p>
    <w:p>
      <w:r>
        <w:rPr>
          <w:b w:val="0"/>
        </w:rPr>
        <w:t>For investors seeking defensive exposure with reliable dividend income, Coca-Cola remains an attractive holding. For growth-oriented investors, we would need to see evidence of sustained revenue acceleration and margin stability across at least two additional quarters before upgrading to Buy.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