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Memo - The Goldman Sachs Group Inc.</w:t>
      </w:r>
    </w:p>
    <w:p>
      <w:r>
        <w:rPr>
          <w:b/>
        </w:rPr>
        <w:t>TO:</w:t>
        <w:tab/>
      </w:r>
      <w:r>
        <w:t>Credit Committee, Rating Agency</w:t>
      </w:r>
    </w:p>
    <w:p>
      <w:r>
        <w:rPr>
          <w:b/>
        </w:rPr>
        <w:t>FROM:</w:t>
        <w:tab/>
      </w:r>
      <w:r>
        <w:t>Senior Credit Analyst, Financial Institutions Group</w:t>
      </w:r>
    </w:p>
    <w:p>
      <w:r>
        <w:rPr>
          <w:b/>
        </w:rPr>
        <w:t>DATE:</w:t>
        <w:tab/>
      </w:r>
      <w:r>
        <w:t>May 2026</w:t>
      </w:r>
    </w:p>
    <w:p>
      <w:r>
        <w:rPr>
          <w:b/>
        </w:rPr>
        <w:t>RE:</w:t>
        <w:tab/>
      </w:r>
      <w:r>
        <w:t>Credit Assessment - The Goldman Sachs Group, Inc. (GS)</w:t>
      </w:r>
    </w:p>
    <w:p>
      <w:r>
        <w:t>________________________________________________________________________________</w:t>
      </w:r>
    </w:p>
    <w:p>
      <w:pPr>
        <w:pStyle w:val="Heading1"/>
      </w:pPr>
      <w:r>
        <w:t>Executive Summary</w:t>
      </w:r>
    </w:p>
    <w:p>
      <w:r>
        <w:rPr>
          <w:b w:val="0"/>
        </w:rPr>
        <w:t>This memorandum presents the periodic credit assessment for The Goldman Sachs Group, Inc. (GS) based on financial data through Q1 2026. Goldman Sachs remains one of the preeminent global investment banking, securities, and investment management firms, and this analysis evaluates the firm's creditworthiness in the context of its most recent quarterly performance and full-year 2025 results.</w:t>
      </w:r>
    </w:p>
    <w:p>
      <w:r>
        <w:rPr>
          <w:b w:val="0"/>
        </w:rPr>
        <w:t>Goldman Sachs reported net income of $5.63 billion for Q1 2026, representing a strong start to the fiscal year and demonstrating continued earnings momentum from FY 2025, when the firm generated $17.18 billion in net income. Diluted earnings per share reached $17.55 in Q1 2026, building on the $51.32 achieved for the full year 2025. The firm's balance sheet expanded significantly to $2.06 trillion in total assets as of Q1 2026, up from $1.81 trillion at year-end 2025, reflecting increased client activity and market-making inventory.</w:t>
      </w:r>
    </w:p>
    <w:p>
      <w:r>
        <w:rPr>
          <w:b w:val="0"/>
        </w:rPr>
        <w:t>The primary credit strengths include robust profitability, a strong liquidity position with $179.5 billion in cash and cash equivalents, and a well-established franchise in global capital markets. However, the material credit considerations include the elevated leverage profile, with total liabilities of $1.94 trillion against $122.8 billion in stockholders' equity, and the pace of balance sheet growth, which outpaced equity accumulation in Q1 2026.</w:t>
      </w:r>
    </w:p>
    <w:p>
      <w:r>
        <w:rPr>
          <w:b w:val="0"/>
        </w:rPr>
        <w:t>Our preliminary recommendation is a Stable Outlook. The firm's earnings power and liquidity buffers provide adequate support for the current rating level, though the increase in leverage warrants close monitoring in subsequent quarters. The firm's ability to maintain strong profitability while managing the growth of its balance sheet will be the key determinant of any future rating action.</w:t>
      </w:r>
    </w:p>
    <w:p>
      <w:pPr>
        <w:pStyle w:val="Heading1"/>
      </w:pPr>
      <w:r>
        <w:t>Profitability Analysis</w:t>
      </w:r>
    </w:p>
    <w:p>
      <w:r>
        <w:rPr>
          <w:b w:val="0"/>
        </w:rPr>
        <w:t>Goldman Sachs delivered net income of $17.18 billion for the full year 2025, reflecting the firm's dominant position in investment banking fees, trading revenues, and asset management. In Q1 2026, the firm reported $5.63 billion in net income, which annualizes to approximately $22.5 billion, a figure that if sustained would represent a meaningful improvement over FY 2025 results.</w:t>
      </w:r>
    </w:p>
    <w:p>
      <w:r>
        <w:rPr>
          <w:b w:val="0"/>
        </w:rPr>
        <w:t>To contextualize the Q1 2026 result, we examine the quarterly progression through 2025. The YTD cumulative net income through Q2 2025 was $8.46 billion, while the YTD through Q3 2025 was $12.56 billion, implying Q3 2025 standalone net income of $4.10 billion. The full-year 2025 figure of $17.18 billion suggests that Q4 2025 standalone net income was approximately $4.62 billion, calculated as $17.18 billion less the Q3 YTD of $12.56 billion.</w:t>
      </w:r>
    </w:p>
    <w:p>
      <w:r>
        <w:rPr>
          <w:b w:val="0"/>
        </w:rPr>
        <w:t>The Q1 2026 result of $5.63 billion compares favorably to the Q3 2025 standalone result of $4.10 billion and the implied Q4 2025 figure of approximately $4.62 billion. This suggests improving sequential momentum entering 2026. However, investment banking revenues are inherently cyclical and can exhibit significant quarter-to-quarter variability based on capital markets activity, deal flow, and trading conditions.</w:t>
      </w:r>
    </w:p>
    <w:p>
      <w:r>
        <w:rPr>
          <w:b w:val="0"/>
        </w:rPr>
        <w:t>From a credit perspective, the consistency of Goldman Sachs' earnings power is a positive factor. The firm has demonstrated its ability to generate substantial profits across market cycles, though the variability between quarters highlights the episodic nature of certain revenue streams. The sustainability of Q1 2026's elevated run-rate will depend on macroeconomic conditions and capital markets activity for the remainder of the year.</w:t>
      </w:r>
    </w:p>
    <w:p>
      <w:pPr>
        <w:pStyle w:val="Heading1"/>
      </w:pPr>
      <w:r>
        <w:t>Balance Sheet and Leverage Assessment</w:t>
      </w:r>
    </w:p>
    <w:p>
      <w:r>
        <w:rPr>
          <w:b w:val="0"/>
        </w:rPr>
        <w:t>Goldman Sachs' balance sheet expanded meaningfully in Q1 2026, with total assets reaching $2.06 trillion compared to $1.81 trillion at year-end 2025, an increase of approximately $250.9 billion or 13.9%. Total liabilities rose correspondingly to $1.94 trillion from $1.68 trillion, an increase of $253.1 billion. Stockholders' equity declined modestly to $122.8 billion from $125.0 billion, a decrease of approximately $2.2 billion.</w:t>
      </w:r>
    </w:p>
    <w:p>
      <w:r>
        <w:rPr>
          <w:b w:val="0"/>
        </w:rPr>
        <w:t>The divergence between asset growth and equity trends is a key credit consideration. The leverage ratio, calculated as total liabilities divided by stockholders' equity, stood at approximately 15.8x as of Q1 2026, compared to 13.5x at year-end 2025. This represents a meaningful increase in financial leverage over a single quarter. For context, the leverage ratio was approximately 13.5x at Q3 2025 and 13.4x at Q2 2025.</w:t>
      </w:r>
    </w:p>
    <w:p>
      <w:r>
        <w:rPr>
          <w:b w:val="0"/>
        </w:rPr>
        <w:t>The historical leverage ratios are as follows: Q2 2025 at 13.36x using liabilities of $1,660.9 billion and equity of $124.1 billion; Q3 2025 at 13.54x using liabilities of $1,683.6 billion and equity of $124.4 billion; FY 2025 at 13.48x using liabilities of $1,684.3 billion and equity of $124.97 billion; and Q1 2026 at 15.78x using liabilities of $1,937.4 billion and equity of $122.8 billion. The jump to 15.78x in Q1 2026 is notable and exceeds the firm's recent operating range.</w:t>
      </w:r>
    </w:p>
    <w:p>
      <w:r>
        <w:rPr>
          <w:b w:val="0"/>
        </w:rPr>
        <w:t>The equity cushion of $122.8 billion remains substantial in absolute terms and supports the firm's ability to absorb potential losses. However, the declining equity alongside expanding liabilities reduces the margin of safety. The net decrease in equity of $2.2 billion in Q1 2026 could reflect share repurchases, dividend payments, or other capital management actions which, while beneficial to shareholders, can be credit-negative if they result in excessive leverage.</w:t>
      </w:r>
    </w:p>
    <w:p>
      <w:pPr>
        <w:pStyle w:val="Heading1"/>
      </w:pPr>
      <w:r>
        <w:t>Liquidity Position</w:t>
      </w:r>
    </w:p>
    <w:p>
      <w:r>
        <w:rPr>
          <w:b w:val="0"/>
        </w:rPr>
        <w:t>Goldman Sachs maintained a robust liquidity position as of Q1 2026, with cash and cash equivalents of $179.5 billion. This represents an increase from $164.3 billion at year-end 2025 and $152.9 billion at Q2 2025. The trend in cash reserves has been generally positive, with the Q1 2026 figure representing a $15.3 billion increase from FY 2025 levels.</w:t>
      </w:r>
    </w:p>
    <w:p>
      <w:r>
        <w:rPr>
          <w:b w:val="0"/>
        </w:rPr>
        <w:t>The firm's cash position as a percentage of total assets was approximately 8.7% as of Q1 2026, calculated as $179.5 billion divided by $2,060.2 billion, compared to 9.1% at year-end 2025 using $164.3 billion divided by $1,809.3 billion. While the absolute level of cash increased, the ratio to assets declined slightly due to the faster pace of balance sheet growth. This marginal decline is not alarming given the absolute magnitude of the cash buffer, but it bears monitoring.</w:t>
      </w:r>
    </w:p>
    <w:p>
      <w:r>
        <w:rPr>
          <w:b w:val="0"/>
        </w:rPr>
        <w:t>From a liquidity stress perspective, the $179.5 billion cash position provides a meaningful cushion. As a proportion of total liabilities, cash represented approximately 9.3% as of Q1 2026, calculated as $179.5 billion divided by $1,937.4 billion, compared to 9.8% at year-end 2025 using $164.3 billion divided by $1,684.3 billion. This indicates that while liquidity remains ample, the incremental assets added in Q1 2026 were not fully funded by cash accumulation.</w:t>
      </w:r>
    </w:p>
    <w:p>
      <w:r>
        <w:rPr>
          <w:b w:val="0"/>
        </w:rPr>
        <w:t>Goldman Sachs' liquidity management practices are a recognized credit strength. The firm's ability to maintain and grow its cash reserves even as the balance sheet expands demonstrates effective treasury management. However, the slight decline in cash-to-asset and cash-to-liability ratios suggests that the pace of asset growth should be carefully managed to ensure liquidity buffers remain commensurate with the firm's risk profile.</w:t>
      </w:r>
    </w:p>
    <w:p>
      <w:pPr>
        <w:pStyle w:val="Heading1"/>
      </w:pPr>
      <w:r>
        <w:t>Earnings Per Share Trend</w:t>
      </w:r>
    </w:p>
    <w:p>
      <w:r>
        <w:rPr>
          <w:b w:val="0"/>
        </w:rPr>
        <w:t>Diluted earnings per share for Goldman Sachs reached $17.55 in Q1 2026, building on a strong FY 2025 performance of $51.32 per share. The Q1 2026 figure, if annualized, would imply approximately $70.20 per share for the full year, a 36.8% increase over FY 2025. While such annualization should be interpreted with caution given the cyclicality of the business, the Q1 result nonetheless signals improving profitability on a per-share basis.</w:t>
      </w:r>
    </w:p>
    <w:p>
      <w:r>
        <w:rPr>
          <w:b w:val="0"/>
        </w:rPr>
        <w:t>Examining the quarterly EPS trajectory through 2025 provides useful context. The Q3 2025 standalone diluted EPS was $12.25, while the YTD figure through Q3 2025 was $37.33. The YTD through Q2 2025 was $25.07. The full-year 2025 EPS of $51.32 suggests Q4 2025 standalone EPS of approximately $14.00, calculated as $51.32 less the Q3 YTD of $37.33.</w:t>
      </w:r>
    </w:p>
    <w:p>
      <w:r>
        <w:rPr>
          <w:b w:val="0"/>
        </w:rPr>
        <w:t>The quarterly EPS progression for 2025 shows meaningful variability. The implied Q1-Q2 2025 combined EPS was $25.07, Q3 2025 standalone was $12.25, and Q4 2025 standalone was approximately $14.00. The Q1 2026 result of $17.55 exceeds all standalone quarters in 2025, indicating strong earnings momentum entering the new fiscal year.</w:t>
      </w:r>
    </w:p>
    <w:p>
      <w:r>
        <w:rPr>
          <w:b w:val="0"/>
        </w:rPr>
        <w:t>From a credit standpoint, strong EPS performance supports the firm's capacity to maintain or increase dividends and share repurchases, which can be both a credit positive through retained earnings growth and a credit negative if capital is returned excessively. The key credit consideration is whether the firm maintains sufficient earnings retention to support its growing balance sheet and absorb potential losses.</w:t>
      </w:r>
    </w:p>
    <w:p>
      <w:pPr>
        <w:pStyle w:val="Heading1"/>
      </w:pPr>
      <w:r>
        <w:t>Key Credit Risks and Mitigants</w:t>
      </w:r>
    </w:p>
    <w:p>
      <w:r>
        <w:rPr>
          <w:b w:val="0"/>
        </w:rPr>
        <w:t>Risk 1: Elevated Leverage. The leverage ratio increased to approximately 15.8x in Q1 2026 from 13.5x at year-end 2025. This level of leverage reduces the equity cushion available to absorb losses. Mitigant: Goldman Sachs' stockholders' equity of $122.8 billion remains substantial, and the firm's demonstrated ability to generate $5.63 billion in quarterly net income provides a strong earnings buffer. Over time, retained earnings can rebuild the equity base if balance sheet growth moderates.</w:t>
      </w:r>
    </w:p>
    <w:p>
      <w:r>
        <w:rPr>
          <w:b w:val="0"/>
        </w:rPr>
        <w:t>Risk 2: Balance Sheet Growth Outpacing Equity. Total assets grew by 13.9% in a single quarter while equity declined by 1.7%. This divergence, if sustained, could lead to further increases in leverage and potential rating pressure. Mitigant: The asset growth may be driven by short-term, self-liquidating positions such as trading inventory and client facilitation activities that are expected to normalize. Additionally, the growth was accompanied by a $15.3 billion increase in cash reserves.</w:t>
      </w:r>
    </w:p>
    <w:p>
      <w:r>
        <w:rPr>
          <w:b w:val="0"/>
        </w:rPr>
        <w:t>Risk 3: Earnings Cyclicality. Quarterly net income ranged from approximately $4.10 billion in Q3 2025 to $5.63 billion in Q1 2026, representing significant variability. A sustained downturn in capital markets activity could pressure earnings and, by extension, the firm's ability to service debt and maintain capital levels. Mitigant: The firm's diversified business model across investment banking, global markets, and asset and wealth management provides multiple revenue streams. The full-year 2025 net income of $17.18 billion demonstrates resilience.</w:t>
      </w:r>
    </w:p>
    <w:p>
      <w:r>
        <w:rPr>
          <w:b w:val="0"/>
        </w:rPr>
        <w:t>Risk 4: Declining Cash-to-Asset Ratio. While absolute cash increased to $179.5 billion, the ratio of cash to total assets declined from 9.1% at FY 2025 to 8.7% at Q1 2026. If balance sheet growth continues without proportional liquidity accumulation, the firm could face increased funding risk during stress periods. Mitigant: The absolute cash position of $179.5 billion is historically strong and represents approximately 9.3% of total liabilities. The firm's access to deep capital markets provides additional liquidity backstops.</w:t>
      </w:r>
    </w:p>
    <w:p/>
    <w:p>
      <w:r>
        <w:t>Prepared by: Senior Credit Analyst, Financial Institutions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