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Credit Memo - The Boeing Company</w:t>
      </w:r>
    </w:p>
    <w:p>
      <w:r>
        <w:rPr>
          <w:b/>
        </w:rPr>
        <w:t>TO:</w:t>
        <w:tab/>
      </w:r>
      <w:r>
        <w:t>Credit Committee, Large Corporate Lending Group</w:t>
      </w:r>
    </w:p>
    <w:p>
      <w:r>
        <w:rPr>
          <w:b/>
        </w:rPr>
        <w:t>DATE:</w:t>
        <w:tab/>
      </w:r>
      <w:r>
        <w:t>May 2026</w:t>
      </w:r>
    </w:p>
    <w:p>
      <w:r>
        <w:rPr>
          <w:b/>
        </w:rPr>
        <w:t>RE:</w:t>
        <w:tab/>
      </w:r>
      <w:r>
        <w:t>Annual Credit Review - The Boeing Company (NYSE: BA) - $10 Billion Revolving Credit Facility</w:t>
      </w:r>
    </w:p>
    <w:p>
      <w:r>
        <w:t>________________________________________________________________________________</w:t>
      </w:r>
    </w:p>
    <w:p>
      <w:pPr>
        <w:pStyle w:val="Heading1"/>
      </w:pPr>
      <w:r>
        <w:t>Credit Memo - The Boeing Company</w:t>
      </w:r>
    </w:p>
    <w:p>
      <w:r>
        <w:rPr>
          <w:b w:val="0"/>
        </w:rPr>
        <w:t>TO: Credit Committee, Large Corporate Lending Group</w:t>
      </w:r>
    </w:p>
    <w:p>
      <w:r>
        <w:rPr>
          <w:b w:val="0"/>
        </w:rPr>
        <w:t>FROM: Senior Credit Analyst, Aerospace &amp; Defense Coverage Team</w:t>
      </w:r>
    </w:p>
    <w:p>
      <w:r>
        <w:rPr>
          <w:b w:val="0"/>
        </w:rPr>
        <w:t>DATE: May 2026</w:t>
      </w:r>
    </w:p>
    <w:p>
      <w:r>
        <w:rPr>
          <w:b w:val="0"/>
        </w:rPr>
        <w:t>RE: Annual Credit Review - The Boeing Company (NYSE: BA) - $10 Billion Revolving Credit Facility</w:t>
      </w:r>
    </w:p>
    <w:p>
      <w:pPr>
        <w:pStyle w:val="Heading1"/>
      </w:pPr>
      <w:r>
        <w:t>Executive Summary</w:t>
      </w:r>
    </w:p>
    <w:p>
      <w:r>
        <w:rPr>
          <w:b w:val="0"/>
        </w:rPr>
        <w:t>We recommend a MODIFIED MAINTENANCE of Boeing's existing revolving credit facility with enhanced monitoring provisions and adjusted financial covenants. While the company has demonstrated a return to positive operating income in Q1 2026, the extreme volatility in quarterly performance, particularly the $4.8 billion operating loss in Q3 2025, coupled with periods of negative stockholders' equity, warrants a more cautious lending posture.</w:t>
      </w:r>
    </w:p>
    <w:p>
      <w:r>
        <w:rPr>
          <w:b w:val="0"/>
        </w:rPr>
        <w:t>The key credit strengths include Boeing's market-leading position in commercial aerospace, its $9.4 billion cash position as of Q1 2026, and the return to profitability on a full-year FY 2025 basis with $89.5 billion in revenue and $2.2 billion in net income. However, these positives are substantially offset by the company's significant leverage, with total liabilities of $158.8 billion against total assets of $164.8 billion, yielding a debt-to-equity ratio of approximately 26.5x as of Q1 2026.</w:t>
      </w:r>
    </w:p>
    <w:p>
      <w:r>
        <w:rPr>
          <w:b w:val="0"/>
        </w:rPr>
        <w:t>We recommend reducing the facility commitment from $10.0 billion to $7.5 billion, implementing a minimum interest coverage covenant of 1.0x, requiring quarterly covenant compliance certificates, and adding a springing leverage covenant triggered if total debt-to-EBITDA exceeds 8.0x. The overall credit risk rating is assessed as SUBSTANTIAL with a NEGATIVE outlook.</w:t>
      </w:r>
    </w:p>
    <w:p>
      <w:pPr>
        <w:pStyle w:val="Heading1"/>
      </w:pPr>
      <w:r>
        <w:t>Financial Performance Analysis</w:t>
      </w:r>
    </w:p>
    <w:p>
      <w:r>
        <w:rPr>
          <w:b w:val="0"/>
        </w:rPr>
        <w:t>Boeing's revenue trajectory shows significant recovery on an annual basis, with FY 2025 revenues of $89.5 billion representing a meaningful recovery from the $76.6 billion reported in FY 2019. The Q1 2026 quarterly revenue of $22.2 billion, if annualized, suggests a potential FY 2026 revenue run-rate of approximately $88.9 billion, broadly consistent with FY 2025 levels.</w:t>
      </w:r>
    </w:p>
    <w:p>
      <w:r>
        <w:rPr>
          <w:b w:val="0"/>
        </w:rPr>
        <w:t>Profitability metrics reveal substantial volatility across reporting periods. The gross margin in Q1 2026 was approximately 11.5% ($2.5 billion on $22.2 billion revenue), an improvement from the full-year FY 2025 gross margin of 4.8% ($4.3 billion on $89.5 billion revenue). Most concerning was Q3 2025, which reported negative gross profit of $2.4 billion, indicating the company was generating revenue below its cost of goods sold during that quarter.</w:t>
      </w:r>
    </w:p>
    <w:p>
      <w:r>
        <w:rPr>
          <w:b w:val="0"/>
        </w:rPr>
        <w:t>Operating income tells a similar story of extreme volatility. FY 2025 operating income was $4.3 billion, but this masks the fact that Q3 2025 alone generated an operating loss of $4.8 billion. The Q3 2025 year-to-date operating loss through September was $4.5 billion, meaning the company was operating at a significant loss through the first nine months of FY 2025 before a dramatic fourth-quarter recovery. Q1 2026 operating income of $448 million represents a positive but modest result relative to the revenue base.</w:t>
      </w:r>
    </w:p>
    <w:p>
      <w:r>
        <w:rPr>
          <w:b w:val="0"/>
        </w:rPr>
        <w:t>Net income follows the same volatile pattern: FY 2025 net income of $2.2 billion ($2.48 diluted EPS) versus Q3 2025 quarterly net loss of $5.3 billion (-$7.14 diluted EPS). The Q1 2026 net loss of $4 million (-$0.11 diluted EPS) shows the company is essentially at breakeven, which is insufficient to meaningfully delever the balance sheet.</w:t>
      </w:r>
    </w:p>
    <w:p>
      <w:r>
        <w:rPr>
          <w:b w:val="0"/>
        </w:rPr>
        <w:t>Research and development spending remained relatively stable at $903 million in Q1 2026 versus $897 million in Q3 2025, representing approximately 4.1% of revenue. Full-year FY 2025 R&amp;D was $3.6 billion (4.0% of revenue). This level of investment is necessary to maintain competitive position but constrains free cash flow generation available for debt reduction.</w:t>
      </w:r>
    </w:p>
    <w:p>
      <w:pPr>
        <w:pStyle w:val="Heading1"/>
      </w:pPr>
      <w:r>
        <w:t>Balance Sheet and Leverage Assessment</w:t>
      </w:r>
    </w:p>
    <w:p>
      <w:r>
        <w:rPr>
          <w:b w:val="0"/>
        </w:rPr>
        <w:t>Boeing's balance sheet reflects a highly leveraged capital structure that poses significant credit risk. As of Q1 2026, total assets were $164.8 billion against total liabilities of $158.8 billion, leaving stockholders' equity of just $6.0 billion. This represents a debt-to-equity ratio of approximately 26.5x, far exceeding typical investment-grade thresholds for industrial companies.</w:t>
      </w:r>
    </w:p>
    <w:p>
      <w:r>
        <w:rPr>
          <w:b w:val="0"/>
        </w:rPr>
        <w:t>The equity position has been extremely volatile. Stockholders' equity was negative $8.3 billion as of Q3 2025 and negative $3.3 billion as of Q2 2025, before recovering to $5.5 billion at FY 2025 year-end and $6.0 billion as of Q1 2026. The negative equity periods indicate that the company's accumulated losses and liabilities exceeded its assets.</w:t>
      </w:r>
    </w:p>
    <w:p>
      <w:r>
        <w:rPr>
          <w:b w:val="0"/>
        </w:rPr>
        <w:t>Total liabilities have remained elevated, ranging from $158.3 billion (Q3 2025) to $162.8 billion (FY 2025). The slight reduction in liabilities from $162.8 billion at FY 2025 to $158.8 billion at Q1 2026 is a modest positive, but the absolute level remains concerning. The company's total leverage of 26.5x as of Q1 2026 is extreme by any standard.</w:t>
      </w:r>
    </w:p>
    <w:p>
      <w:r>
        <w:rPr>
          <w:b w:val="0"/>
        </w:rPr>
        <w:t>Asset quality is another concern given Boeing's significant exposure to inventory, work-in-progress, and deferred production costs on aircraft programs. The $3.5 billion decrease in total assets from $168.2 billion (FY 2025) to $164.8 billion (Q1 2026) may reflect asset impairments or write-downs, which warrants further investigation beyond the available data.</w:t>
      </w:r>
    </w:p>
    <w:p>
      <w:pPr>
        <w:pStyle w:val="Heading1"/>
      </w:pPr>
      <w:r>
        <w:t>Liquidity Analysis</w:t>
      </w:r>
    </w:p>
    <w:p>
      <w:r>
        <w:rPr>
          <w:b w:val="0"/>
        </w:rPr>
        <w:t>Boeing's liquidity position shows a declining trend that warrants close monitoring. Cash and cash equivalents decreased from $10.9 billion at FY 2025 year-end to $9.4 billion as of Q1 2026, a reduction of approximately $1.5 billion in a single quarter. This burn rate, if sustained, would exhaust the current cash position within approximately six quarters without additional financing.</w:t>
      </w:r>
    </w:p>
    <w:p>
      <w:r>
        <w:rPr>
          <w:b w:val="0"/>
        </w:rPr>
        <w:t>The cash position has been volatile throughout FY 2025, falling from $7.1 billion at Q2 2025 to $6.2 billion at Q3 2025 before recovering to $10.9 billion at year-end. The fourth-quarter recovery likely reflects year-end financing activities or timing of customer advances, but the underlying operating cash generation appears insufficient to maintain adequate liquidity buffers.</w:t>
      </w:r>
    </w:p>
    <w:p>
      <w:r>
        <w:rPr>
          <w:b w:val="0"/>
        </w:rPr>
        <w:t>The $9.4 billion cash position as of Q1 2026, when combined with the proposed $7.5 billion revolving credit facility, would provide total available liquidity of approximately $16.9 billion. However, this is substantially offset by Boeing's near-term obligations including accounts payable, accrued liabilities, and debt maturities within the next twelve months.</w:t>
      </w:r>
    </w:p>
    <w:p>
      <w:r>
        <w:rPr>
          <w:b w:val="0"/>
        </w:rPr>
        <w:t>Given the operating volatility demonstrated by Q3 2025 results, Boeing's liquidity needs could spike materially in a downside scenario where production disruptions or quality issues recur. The cash position provides a buffer, but the declining trend and extreme operating leverage create a scenario where liquidity could deteriorate rapidly.</w:t>
      </w:r>
    </w:p>
    <w:p>
      <w:pPr>
        <w:pStyle w:val="Heading1"/>
      </w:pPr>
      <w:r>
        <w:t>Key Credit Risks</w:t>
      </w:r>
    </w:p>
    <w:p>
      <w:r>
        <w:rPr>
          <w:b w:val="0"/>
        </w:rPr>
        <w:t>The primary credit risk is Boeing's extreme operational volatility, evidenced by the Q3 2025 results where the company reported negative gross profit of $2.4 billion and an operating loss of $4.8 billion on revenues of $23.3 billion. This level of negative operating leverage in a single quarter indicates severe production or quality issues that can recur and rapidly erode liquidity and equity.</w:t>
      </w:r>
    </w:p>
    <w:p>
      <w:r>
        <w:rPr>
          <w:b w:val="0"/>
        </w:rPr>
        <w:t>The negative stockholders' equity positions reported in Q2 2025 (-$3.3 billion) and Q3 2025 (-$8.3 billion) represent a structural credit concern. While equity recovered to $6.0 billion by Q1 2026, the volatility demonstrates how quickly the balance sheet can deteriorate. Negative equity can trigger cross-default provisions in other debt agreements and restrict the company's financial flexibility.</w:t>
      </w:r>
    </w:p>
    <w:p>
      <w:r>
        <w:rPr>
          <w:b w:val="0"/>
        </w:rPr>
        <w:t>Concentration risk in the commercial aerospace sector exposes Boeing to cyclicality in airline demand, production rate assumptions, and regulatory scrutiny following safety incidents. Ongoing quality concerns create reputational and regulatory risk that could result in additional charges, production delays, or order cancellations.</w:t>
      </w:r>
    </w:p>
    <w:p>
      <w:r>
        <w:rPr>
          <w:b w:val="0"/>
        </w:rPr>
        <w:t>The $3.6 billion annual R&amp;D spend, while necessary for competitive positioning, represents a fixed cost that constrains cash flow during periods of revenue weakness. Combined with the company's significant fixed manufacturing costs, Boeing's operating leverage creates a scenario where small revenue shortfalls translate disproportionately into operating losses, as demonstrated in Q3 2025.</w:t>
      </w:r>
    </w:p>
    <w:p>
      <w:pPr>
        <w:pStyle w:val="Heading1"/>
      </w:pPr>
      <w:r>
        <w:t>Covenant and Structural Considerations</w:t>
      </w:r>
    </w:p>
    <w:p>
      <w:r>
        <w:rPr>
          <w:b w:val="0"/>
        </w:rPr>
        <w:t>Based on the financial trends observed, we recommend implementing the following covenant structure for the modified facility: a minimum interest coverage ratio of 1.0x (trailing twelve months), measured quarterly; a maximum total debt-to-EBITDA ratio of 8.0x (springing covenant triggered if exceeded); and a minimum liquidity covenant of $5.0 billion in unrestricted cash and cash equivalents.</w:t>
      </w:r>
    </w:p>
    <w:p>
      <w:r>
        <w:rPr>
          <w:b w:val="0"/>
        </w:rPr>
        <w:t>The extreme volatility in Boeing's quarterly results makes traditional trailing-twelve-month covenants less effective as early warning mechanisms. We therefore recommend quarterly covenant testing rather than annual testing, with mandatory compliance certificates due within 45 days of each quarter-end.</w:t>
      </w:r>
    </w:p>
    <w:p>
      <w:r>
        <w:rPr>
          <w:b w:val="0"/>
        </w:rPr>
        <w:t>Given the periods of negative stockholders' equity, we recommend adding a negative covenant restricting share repurchases and dividend payments whenever stockholders' equity falls below $2.0 billion. This protects the bank's position during periods of balance sheet stress.</w:t>
      </w:r>
    </w:p>
    <w:p>
      <w:r>
        <w:rPr>
          <w:b w:val="0"/>
        </w:rPr>
        <w:t>Additional reporting requirements should include monthly production rate updates for key aircraft programs, quarterly detail on firm order backlog, and immediate notification of any regulatory actions, production halts, or significant contract modifications.</w:t>
      </w:r>
    </w:p>
    <w:p>
      <w:pPr>
        <w:pStyle w:val="Heading1"/>
      </w:pPr>
      <w:r>
        <w:t>Recommendation</w:t>
      </w:r>
    </w:p>
    <w:p>
      <w:r>
        <w:rPr>
          <w:b w:val="0"/>
        </w:rPr>
        <w:t>We recommend modifying Boeing's revolving credit facility as follows: reduce the committed facility from $10.0 billion to $7.5 billion; maintain the current maturity date and pricing structure; implement the covenant package described above with quarterly testing; require enhanced financial reporting including monthly production data; and schedule the next comprehensive credit review in six months rather than the standard twelve-month cycle.</w:t>
      </w:r>
    </w:p>
    <w:p>
      <w:r>
        <w:rPr>
          <w:b w:val="0"/>
        </w:rPr>
        <w:t>The modified facility provides Boeing with adequate liquidity support given its $9.4 billion cash position while reducing the bank's exposure to the extreme operational volatility demonstrated in recent quarters. The covenant structure is designed to provide early warning of deterioration while remaining achievable given Boeing's current financial trajectory.</w:t>
      </w:r>
    </w:p>
    <w:p>
      <w:r>
        <w:rPr>
          <w:b w:val="0"/>
        </w:rPr>
        <w:t>If Boeing's financial performance stabilizes over the next two quarters, specifically if Q2 and Q3 2026 results show sustained positive operating income, continued equity recovery above $5 billion, and cash position maintenance above $8 billion, we would consider restoring the full facility commitment at the next review. Conversely, a recurrence of Q3 2025-type losses would trigger a more comprehensive restructuring of the credit relationship.</w:t>
      </w:r>
    </w:p>
    <w:p>
      <w:r>
        <w:rPr>
          <w:b w:val="0"/>
        </w:rPr>
        <w:t>Overall Credit Risk Rating: SUBSTANTIAL with NEGATIVE Outlook. Recommended Facility Action: MODIFY - Reduce from $10.0 billion to $7.5 billion with enhanced covenants and monitoring.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