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Investment Memorandum - The Procter &amp; Gamble Company (NYSE: PG)</w:t>
      </w:r>
    </w:p>
    <w:p>
      <w:r>
        <w:rPr>
          <w:b/>
        </w:rPr>
        <w:t>TO:</w:t>
        <w:tab/>
      </w:r>
      <w:r>
        <w:t>Institutional Sales Team</w:t>
      </w:r>
    </w:p>
    <w:p>
      <w:r>
        <w:rPr>
          <w:b/>
        </w:rPr>
        <w:t>DATE:</w:t>
        <w:tab/>
      </w:r>
      <w:r>
        <w:t>April 2026</w:t>
      </w:r>
    </w:p>
    <w:p>
      <w:r>
        <w:rPr>
          <w:b/>
        </w:rPr>
        <w:t>RE:</w:t>
        <w:tab/>
      </w:r>
      <w:r>
        <w:t>Procter &amp; Gamble Company (NYSE: PG) - FY2026 Financial Performance Review</w:t>
      </w:r>
    </w:p>
    <w:p>
      <w:r>
        <w:t>________________________________________________________________________________</w:t>
      </w:r>
    </w:p>
    <w:p>
      <w:pPr>
        <w:pStyle w:val="Heading1"/>
      </w:pPr>
      <w:r>
        <w:t>Executive Summary</w:t>
      </w:r>
    </w:p>
    <w:p>
      <w:r>
        <w:rPr>
          <w:b w:val="0"/>
        </w:rPr>
        <w:t>The Procter &amp; Gamble Company (NYSE: PG) reported year-to-date revenues of $65.83 billion through the first three quarters of fiscal year 2026 (July 2025 through March 2026), generating net income of $13.00 billion and diluted earnings per share of $5.36 over the same period. The company has demonstrated consistent top-line generation with quarterly revenues clustering in a narrow range of $21.2 billion to $22.4 billion across the three reported quarters.</w:t>
      </w:r>
    </w:p>
    <w:p>
      <w:r>
        <w:rPr>
          <w:b w:val="0"/>
        </w:rPr>
        <w:t>Profitability metrics reveal a mixed picture. While gross margins have remained relatively stable in the low-to-mid 50% range, operating margins have shown sequential pressure, declining from 26.1% in Q1 to 21.6% in Q3. Net margins have similarly compressed from 21.2% in Q1 to 18.5% in Q3, suggesting that cost pressures or investment spending may be weighing on bottom-line conversion efficiency.</w:t>
      </w:r>
    </w:p>
    <w:p>
      <w:r>
        <w:rPr>
          <w:b w:val="0"/>
        </w:rPr>
        <w:t>From a balance sheet perspective, PG maintains a solid asset base of $128.4 billion as of Q3 FY2026, with total liabilities of $73.6 billion, yielding shareholders' equity of approximately $54.7 billion. The company's debt-to-assets ratio has remained stable at approximately 0.57x across the three quarters, indicating disciplined capital structure management.</w:t>
      </w:r>
    </w:p>
    <w:p>
      <w:r>
        <w:rPr>
          <w:b w:val="0"/>
        </w:rPr>
        <w:t>Our analysis concludes that PG remains well-positioned as a defensive large-cap consumer staples holding, though investors should monitor the sequential margin compression and the sustainability of earnings growth if cost headwinds persist through the remainder of FY2026.</w:t>
      </w:r>
    </w:p>
    <w:p>
      <w:pPr>
        <w:pStyle w:val="Heading1"/>
      </w:pPr>
      <w:r>
        <w:t>Revenue Analysis</w:t>
      </w:r>
    </w:p>
    <w:p>
      <w:r>
        <w:rPr>
          <w:b w:val="0"/>
        </w:rPr>
        <w:t>PG's quarterly revenue performance through the first three quarters of FY2026 reflects the stability characteristic of a mature consumer staples franchise. The company generated $22.39 billion in Q1 (July-September 2025), $22.21 billion in Q2 (October-December 2025), and $21.24 billion in Q3 (January-March 2026), for a cumulative YTD total of $65.83 billion.</w:t>
      </w:r>
    </w:p>
    <w:p>
      <w:r>
        <w:rPr>
          <w:b w:val="0"/>
        </w:rPr>
        <w:t>The sequential revenue trajectory reveals modest contraction. Q2 revenues declined 0.8% versus Q1, while Q3 revenues declined 4.4% versus Q2. The Q3 decline is the most notable sequential movement, though it is important to note that quarterly seasonality and promotional calendar effects may contribute to the Q3 softness.</w:t>
      </w:r>
    </w:p>
    <w:p>
      <w:r>
        <w:rPr>
          <w:b w:val="0"/>
        </w:rPr>
        <w:t>On a cumulative basis, the $65.83 billion YTD figure annualizes to approximately $87.8 billion, which would represent a meaningful revenue base for the fiscal year ending June 2026. However, the decelerating quarterly trend warrants monitoring, particularly if macroeconomic headwinds or competitive pressures intensify in the consumer staples sector.</w:t>
      </w:r>
    </w:p>
    <w:p>
      <w:r>
        <w:rPr>
          <w:b w:val="0"/>
        </w:rPr>
        <w:t>The revenue consistency within the $21-22 billion quarterly range underscores PG's portfolio diversification across categories including fabric care, home care, baby care, feminine care, and grooming. This diversification provides a natural hedge against category-specific demand fluctuations, contributing to the overall revenue stability observed in the data.</w:t>
      </w:r>
    </w:p>
    <w:p>
      <w:pPr>
        <w:pStyle w:val="Heading1"/>
      </w:pPr>
      <w:r>
        <w:t>Profitability Assessment</w:t>
      </w:r>
    </w:p>
    <w:p>
      <w:r>
        <w:rPr>
          <w:b w:val="0"/>
        </w:rPr>
        <w:t>Gross margin analysis reveals relatively stable cost of goods dynamics across the three reported quarters. Gross profit totaled $11.50 billion in Q1 (51.4% margin), $11.37 billion in Q2 (51.2% margin), and $10.51 billion in Q3 (49.5% margin). The modest compression from Q1 to Q3 suggests some input cost or mix headwinds, though margins remain firmly in the 49-52% range that characterizes PG's premium brand portfolio.</w:t>
      </w:r>
    </w:p>
    <w:p>
      <w:r>
        <w:rPr>
          <w:b w:val="0"/>
        </w:rPr>
        <w:t>Operating margin exhibited more pronounced sequential pressure. Q1 operating income of $5.86 billion represented a 26.1% operating margin, which compressed to 24.1% in Q2 ($5.37 billion on $22.21 billion revenue) and further to 21.6% in Q3 ($4.58 billion on $21.24 billion revenue). This 450 basis point decline from Q1 to Q3 is a key area of focus for our analysis.</w:t>
      </w:r>
    </w:p>
    <w:p>
      <w:r>
        <w:rPr>
          <w:b w:val="0"/>
        </w:rPr>
        <w:t>The operating margin compression appears to be driven by SG&amp;A spending patterns rather than gross margin deterioration. SG&amp;A expenses of $5.64 billion in Q1 (25.2% of revenue), $6.01 billion in Q2 (27.0% of revenue), and $5.94 billion in Q3 (27.9% of revenue) show a clear upward trend as a percentage of revenue, suggesting incremental investment in selling, general, and administrative activities.</w:t>
      </w:r>
    </w:p>
    <w:p>
      <w:r>
        <w:rPr>
          <w:b w:val="0"/>
        </w:rPr>
        <w:t>Net margins followed the operating margin trajectory, declining from 21.2% in Q1 ($4.75 billion net income) to 19.4% in Q2 ($4.32 billion) to 18.5% in Q3 ($3.93 billion). The net margin compression of approximately 270 basis points from Q1 to Q3 is somewhat less severe than the operating margin decline, reflecting the benefit of below-the-line items or tax efficiency that partially offset operating deleveraging.</w:t>
      </w:r>
    </w:p>
    <w:p>
      <w:pPr>
        <w:pStyle w:val="Heading1"/>
      </w:pPr>
      <w:r>
        <w:t>Earnings Per Share Trend</w:t>
      </w:r>
    </w:p>
    <w:p>
      <w:r>
        <w:rPr>
          <w:b w:val="0"/>
        </w:rPr>
        <w:t>Diluted earnings per share for the FY2026 quarters were $1.95 in Q1, $1.78 in Q2, and $1.63 in Q3, yielding a cumulative YTD figure of $5.36 per share. The EPS trajectory mirrors the net income trend, declining sequentially in each quarter as operating margin pressure flows through to the bottom line.</w:t>
      </w:r>
    </w:p>
    <w:p>
      <w:r>
        <w:rPr>
          <w:b w:val="0"/>
        </w:rPr>
        <w:t>The relationship between net income and EPS progression warrants careful examination. Cumulative YTD net income of $13.00 billion divided by cumulative YTD diluted EPS of $5.36 implies approximately 2.43 billion diluted shares outstanding over the nine-month period. This share count is broadly consistent with PG's historical capital allocation approach of returning capital to shareholders through dividends and share repurchases.</w:t>
      </w:r>
    </w:p>
    <w:p>
      <w:r>
        <w:rPr>
          <w:b w:val="0"/>
        </w:rPr>
        <w:t>The sequential EPS decline from $1.95 to $1.63 represents a 16.4% reduction from Q1 to Q3. While this decline is concerning in isolation, it is important to contextualize within the broader consumer staples environment, where input cost inflation, competitive pricing pressures, and investment spending can create near-term earnings volatility even for best-in-class operators.</w:t>
      </w:r>
    </w:p>
    <w:p>
      <w:r>
        <w:rPr>
          <w:b w:val="0"/>
        </w:rPr>
        <w:t>Looking ahead, the sustainability of PG's EPS trajectory will depend on the company's ability to stabilize or improve operating margins while maintaining revenue momentum. The Q4 FY2026 results will be critical in determining whether the sequential margin compression is a temporary phenomenon or a more structural shift in the company's earnings profile.</w:t>
      </w:r>
    </w:p>
    <w:p>
      <w:pPr>
        <w:pStyle w:val="Heading1"/>
      </w:pPr>
      <w:r>
        <w:t>Capital Structure and Balance Sheet Health</w:t>
      </w:r>
    </w:p>
    <w:p>
      <w:r>
        <w:rPr>
          <w:b w:val="0"/>
        </w:rPr>
        <w:t>PG's balance sheet demonstrates the stability expected of a blue-chip consumer staples company. Total assets grew modestly from $125.2 billion at FY2025 year-end (June 2025) to $128.4 billion by Q3 FY2026, representing a 2.5% increase over three quarters. This growth reflects continued investment in the company's brand portfolio and operational infrastructure.</w:t>
      </w:r>
    </w:p>
    <w:p>
      <w:r>
        <w:rPr>
          <w:b w:val="0"/>
        </w:rPr>
        <w:t>Total liabilities have remained relatively stable, ranging from $72.9 billion at FY2025 to $73.6 billion at Q3 FY2026. The liability trajectory shows modest fluctuation: $72.9 billion (FY2025), $74.0 billion (Q1), $74.0 billion (Q2), and $73.6 billion (Q3 FY2026). The slight decline from Q1/Q2 to Q3 suggests some debt paydown or liability management during the March 2026 quarter.</w:t>
      </w:r>
    </w:p>
    <w:p>
      <w:r>
        <w:rPr>
          <w:b w:val="0"/>
        </w:rPr>
        <w:t>Shareholders' equity, calculated as total assets less total liabilities, stood at $52.3 billion at FY2025, $53.6 billion at Q1, $53.3 billion at Q2, and $54.7 billion at Q3 FY2026. The Q3 equity figure represents the highest level in the series, indicating healthy retained earnings accumulation that outpaced any dividend or share repayout outflows.</w:t>
      </w:r>
    </w:p>
    <w:p>
      <w:r>
        <w:rPr>
          <w:b w:val="0"/>
        </w:rPr>
        <w:t>The debt-to-assets ratio, computed as total liabilities divided by total assets, was 0.582x at FY2025, 0.580x at Q1, 0.581x at Q2, and 0.574x at Q3 FY2026. The marginal improvement in this ratio from FY2025 to Q3 reflects a modest deleveraging trend, consistent with asset growth outpacing liability growth. This leverage profile is manageable for a company of PG's scale and cash flow generation capacity, though the absolute debt level remains a consideration for credit analysis.</w:t>
      </w:r>
    </w:p>
    <w:p>
      <w:pPr>
        <w:pStyle w:val="Heading1"/>
      </w:pPr>
      <w:r>
        <w:t>R&amp;D and SG&amp;A Investment Analysis</w:t>
      </w:r>
    </w:p>
    <w:p>
      <w:r>
        <w:rPr>
          <w:b w:val="0"/>
        </w:rPr>
        <w:t>Research and development spending has shown a modest upward trajectory over the past three fiscal years. PG reported R&amp;D expenses of $2.0 billion in FY2023 (July 2022-June 2023), $2.0 billion in FY2024 (July 2023-June 2024), and $2.1 billion in FY2025 (July 2024-June 2025). The 5% increase from FY2024 to FY2025, while modest in absolute terms, signals continued commitment to innovation-driven growth across its brand portfolio.</w:t>
      </w:r>
    </w:p>
    <w:p>
      <w:r>
        <w:rPr>
          <w:b w:val="0"/>
        </w:rPr>
        <w:t>SG&amp;A expenses across the FY2026 quarters reveal a clear upward trend both in absolute terms and as a percentage of revenue. Q1 SG&amp;A of $5.64 billion (25.2% of revenue) increased to $6.01 billion in Q2 (27.0% of revenue) and remained elevated at $5.94 billion in Q3 (27.9% of revenue). The cumulative YTD SG&amp;A of $17.59 billion represents a significant investment in the company's go-to-market capabilities.</w:t>
      </w:r>
    </w:p>
    <w:p>
      <w:r>
        <w:rPr>
          <w:b w:val="0"/>
        </w:rPr>
        <w:t>The rising SG&amp;A intensity is the primary driver of the operating margin compression identified in our profitability analysis. While increased spending on selling, general, and administrative activities can support revenue generation and brand building, the 270 basis point increase in SG&amp;A as a percentage of revenue from Q1 to Q3 raises questions about the near-term return on this investment.</w:t>
      </w:r>
    </w:p>
    <w:p>
      <w:r>
        <w:rPr>
          <w:b w:val="0"/>
        </w:rPr>
        <w:t>From a strategic perspective, PG's spending patterns reflect the dual imperatives of maintaining innovation leadership through R&amp;D investment while investing in commercial capabilities through SG&amp;A. The challenge for management will be to demonstrate that the incremental SG&amp;A investment translates into sustainable revenue growth and market share gains, rather than simply representing cost inflation with limited strategic benefit.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