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The Boeing Company</w:t>
      </w:r>
    </w:p>
    <w:p>
      <w:r>
        <w:rPr>
          <w:b/>
        </w:rPr>
        <w:t>TO:</w:t>
        <w:tab/>
      </w:r>
      <w:r>
        <w:t>Credit Committee</w:t>
      </w:r>
    </w:p>
    <w:p>
      <w:r>
        <w:rPr>
          <w:b/>
        </w:rPr>
        <w:t>FROM:</w:t>
        <w:tab/>
      </w:r>
      <w:r>
        <w:t>Industrial Leverage Finance Group</w:t>
      </w:r>
    </w:p>
    <w:p>
      <w:r>
        <w:rPr>
          <w:b/>
        </w:rPr>
        <w:t>DATE:</w:t>
        <w:tab/>
      </w:r>
      <w:r>
        <w:t>May 2026</w:t>
      </w:r>
    </w:p>
    <w:p>
      <w:r>
        <w:rPr>
          <w:b/>
        </w:rPr>
        <w:t>RE:</w:t>
        <w:tab/>
      </w:r>
      <w:r>
        <w:t>Annual Credit Review - The Boeing Company (BA) - Revolving Credit Facility</w:t>
      </w:r>
    </w:p>
    <w:p>
      <w:r>
        <w:t>________________________________________________________________________________</w:t>
      </w:r>
    </w:p>
    <w:p>
      <w:pPr>
        <w:pStyle w:val="Heading1"/>
      </w:pPr>
      <w:r>
        <w:t>Executive Summary &amp; Credit Recommendation</w:t>
      </w:r>
    </w:p>
    <w:p>
      <w:r>
        <w:rPr>
          <w:b w:val="0"/>
        </w:rPr>
        <w:t>This memorandum presents the annual credit review for The Boeing Company (BA), a global aerospace and defense manufacturer. The analysis is based on financial data from the company's SEC filings through Q1 FY2026. Our recommendation is to Maintain the existing credit facility but place the account on a Credit Watch with a negative outlook.</w:t>
      </w:r>
    </w:p>
    <w:p>
      <w:r>
        <w:rPr>
          <w:b w:val="0"/>
        </w:rPr>
        <w:t>Boeing's financial profile exhibits significant stress. The company reported a net loss of $5.99 billion in Q3 FY2025, followed by a net loss of $648 million in Q2 FY2025. While Q1 FY2026 showed a near break-even result with a net loss of only $4 million, the path to sustainable profitability remains uncertain. Total stockholders' equity stood at negative $8.25 billion at the end of Q3 FY2025, improving to a positive $5.99 billion by Q1 FY2026, indicating a severe capital erosion event has occurred.</w:t>
      </w:r>
    </w:p>
    <w:p>
      <w:r>
        <w:rPr>
          <w:b w:val="0"/>
        </w:rPr>
        <w:t>The three most critical credit risks are: 1) Persistent operational losses eroding capital, 2) Extremely high leverage with total liabilities of $158.8 billion against assets of $164.8 billion in Q1 2026, and 3) Continued high research and development expenditure of $903 million in Q1 2026 amid negative earnings. Mitigants include a substantial cash balance of $9.44 billion at Q1 2026 and the company's strategic importance in the commercial aerospace duopoly.</w:t>
      </w:r>
    </w:p>
    <w:p>
      <w:r>
        <w:rPr>
          <w:b w:val="0"/>
        </w:rPr>
        <w:t>The credit committee should approve the renewal of the revolving credit facility subject to enhanced monitoring and the implementation of new financial covenants as detailed in Section 5 of this memo.</w:t>
      </w:r>
    </w:p>
    <w:p>
      <w:pPr>
        <w:pStyle w:val="Heading1"/>
      </w:pPr>
      <w:r>
        <w:t>1. Financial Performance Analysis</w:t>
      </w:r>
    </w:p>
    <w:p>
      <w:r>
        <w:rPr>
          <w:b w:val="0"/>
        </w:rPr>
        <w:t>Boeing's revenue trajectory has been volatile. The company reported revenues of $42.25 billion in Q2 FY2025, $23.27 billion in Q3 FY2025, and $22.22 billion in Q1 FY2026. The Q3 FY2025 figure represents a significant sequential decline. Full-year FY2025 revenue totaled $89.46 billion.</w:t>
      </w:r>
    </w:p>
    <w:p>
      <w:r>
        <w:rPr>
          <w:b w:val="0"/>
        </w:rPr>
        <w:t>Profitability has been severely impacted. Gross profit declined from $4.85 billion in Q2 FY2025 to negative $2.38 billion in Q3 FY2025, before recovering to $2.48 billion in Q1 FY2026. This indicates a major cost or charge event in the third quarter. Operating income followed a similar pattern, with a loss of $4.50 billion in Q3 FY2025, a loss of $285 million in Q2 FY2025, and a return to positive $448 million in Q1 FY2026.</w:t>
      </w:r>
    </w:p>
    <w:p>
      <w:r>
        <w:rPr>
          <w:b w:val="0"/>
        </w:rPr>
        <w:t>The net income trend underscores the credit concern. After a loss of $648 million in Q2 FY2025, Boeing incurred a massive net loss of $5.99 billion in Q3 FY2025. The diluted loss per share was $1.09 in Q2 2025 and $8.25 in Q3 2025. The Q1 FY2026 result of a $4 million loss ($0.11 per share) suggests some operational stabilization but no definitive return to profitability.</w:t>
      </w:r>
    </w:p>
    <w:p>
      <w:r>
        <w:rPr>
          <w:b w:val="0"/>
        </w:rPr>
        <w:t>The following table summarizes the quarterly financial performance: Q2 2025: Revenue $42.25B, Gross Profit $4.85B, Op Income -$285M, Net Income -$648M. Q3 2025: Revenue $23.27B, Gross Profit -$2.38B, Op Income -$4.50B, Net Income -$5.99B. Q1 2026: Revenue $22.22B, Gross Profit $2.48B, Op Income $448M, Net Income -$4M.</w:t>
      </w:r>
    </w:p>
    <w:p>
      <w:pPr>
        <w:pStyle w:val="Heading1"/>
      </w:pPr>
      <w:r>
        <w:t>2. Balance Sheet and Capital Structure</w:t>
      </w:r>
    </w:p>
    <w:p>
      <w:r>
        <w:rPr>
          <w:b w:val="0"/>
        </w:rPr>
        <w:t>Boeing's balance sheet is highly leveraged. As of Q1 FY2026, total assets were $164.79 billion, funded by total liabilities of $158.80 billion. This yields a leverage ratio (Total Liabilities / Total Assets) of 96.4%, indicating that only 3.6% of assets are financed by equity. The debt-to-equity ratio is extremely high due to the small equity base; using total liabilities against equity, the ratio is approximately 26.5x.</w:t>
      </w:r>
    </w:p>
    <w:p>
      <w:r>
        <w:rPr>
          <w:b w:val="0"/>
        </w:rPr>
        <w:t>The company experienced a significant event: negative stockholders' equity. Equity was negative $3.30 billion at Q2 FY2025 and negative $8.25 billion at Q3 FY2025. This negative equity position reversed by Q1 FY2026, with equity reported as positive $5.99 billion. This swing is primarily attributable to a combination of cumulative losses and potentially a large capital raise or other comprehensive income adjustment, though the filing data provided does not specify the cause.</w:t>
      </w:r>
    </w:p>
    <w:p>
      <w:r>
        <w:rPr>
          <w:b w:val="0"/>
        </w:rPr>
        <w:t>Research and development (R&amp;D) expenditure remains substantial at $903 million in Q1 FY2026, following full-year FY2025 spending of $3.62 billion. This level of spending, while critical for product development and certification, consumes cash during a period of negative operating cash flow generation, as implied by the net losses.</w:t>
      </w:r>
    </w:p>
    <w:p>
      <w:r>
        <w:rPr>
          <w:b w:val="0"/>
        </w:rPr>
        <w:t>The equity improvement to $5.99 billion by Q1 2026 is a positive signal, but the leverage remains at dangerously high levels. The company's ability to sustain operations depends on its ability to generate positive cash flow and avoid further material charges.</w:t>
      </w:r>
    </w:p>
    <w:p>
      <w:pPr>
        <w:pStyle w:val="Heading1"/>
      </w:pPr>
      <w:r>
        <w:t>3. Liquidity and Cash Flow Assessment</w:t>
      </w:r>
    </w:p>
    <w:p>
      <w:r>
        <w:rPr>
          <w:b w:val="0"/>
        </w:rPr>
        <w:t>Boeing's primary liquidity source is its cash and cash equivalents. The balance declined from $10.92 billion at FYE 2025 to $9.44 billion at Q1 FY2026, a reduction of $1.48 billion in one quarter. This drawdown occurred during a quarter where the company reported a minimal net loss of $4 million, suggesting cash usage was driven by working capital movements, debt service, or capital expenditures not fully captured in the net income figure.</w:t>
      </w:r>
    </w:p>
    <w:p>
      <w:r>
        <w:rPr>
          <w:b w:val="0"/>
        </w:rPr>
        <w:t>The cash-to-total liabilities ratio is critically low. At Q1 FY2026, cash of $9.44 billion represents only 5.9% of total liabilities of $158.80 billion. This provides a very thin cushion for debt maturities or unexpected cash needs. The company's liquidity position is fragile.</w:t>
      </w:r>
    </w:p>
    <w:p>
      <w:r>
        <w:rPr>
          <w:b w:val="0"/>
        </w:rPr>
        <w:t>Despite the cash position, Boeing faces significant ongoing demands. R&amp;D spending of $903 million per quarter is a major fixed cost. The company's ability to maintain its cash balance above a minimum operational threshold is a key credit monitor. The drawdown of $1.48 billion in one quarter, if continued, would erode liquidity rapidly.</w:t>
      </w:r>
    </w:p>
    <w:p>
      <w:r>
        <w:rPr>
          <w:b w:val="0"/>
        </w:rPr>
        <w:t>The near-term liquidity outlook is contingent on the company's ability to stabilize production, improve margins, and manage its capital expenditure cycle. Access to capital markets and the existing revolving credit facility are critical backstops.</w:t>
      </w:r>
    </w:p>
    <w:p>
      <w:pPr>
        <w:pStyle w:val="Heading1"/>
      </w:pPr>
      <w:r>
        <w:t>4. Key Credit Risks and Mitigants</w:t>
      </w:r>
    </w:p>
    <w:p>
      <w:r>
        <w:rPr>
          <w:b w:val="0"/>
        </w:rPr>
        <w:t>The primary driver of recent losses was the catastrophic performance in Q3 FY2025, with a gross loss of $2.38 billion and an operating loss of $4.50 billion. This likely resulted from significant charges related to fixed-price development programs, production inefficiencies, or quality-related costs. The magnitude of the loss severely damaged the equity base.</w:t>
      </w:r>
    </w:p>
    <w:p>
      <w:r>
        <w:rPr>
          <w:b w:val="0"/>
        </w:rPr>
        <w:t>The risk of persistently negative equity is a severe credit negative, although the Q1 2026 return to positive equity ($5.99 billion) alleviates immediate technical default concerns on some debt covenants. However, the leverage remains extreme, and another large loss could easily return equity to negative territory.</w:t>
      </w:r>
    </w:p>
    <w:p>
      <w:r>
        <w:rPr>
          <w:b w:val="0"/>
        </w:rPr>
        <w:t>Positive signs in Q1 FY2026 include: a return to positive gross profit ($2.48 billion) and positive operating income ($448 million). This suggests the major loss event in Q3 was episodic rather than a new permanent run-rate. Revenue was $22.22 billion, indicating continued commercial and defense deliveries.</w:t>
      </w:r>
    </w:p>
    <w:p>
      <w:r>
        <w:rPr>
          <w:b w:val="0"/>
        </w:rPr>
        <w:t>Structural mitigants for the credit include Boeing's duopoly position with Airbus in the large commercial aircraft market, a large and diverse defense, space and security backlog, and its strategic importance to the U.S. industrial base. These provide long-term support for the franchise but do not eliminate near-term financial risk.</w:t>
      </w:r>
    </w:p>
    <w:p>
      <w:pPr>
        <w:pStyle w:val="Heading1"/>
      </w:pPr>
      <w:r>
        <w:t>5. Conclusion, Outlook, and Recommended Covenants</w:t>
      </w:r>
    </w:p>
    <w:p>
      <w:r>
        <w:rPr>
          <w:b w:val="0"/>
        </w:rPr>
        <w:t>Boeing's credit trajectory is fragile. The Q1 FY2026 results show stabilization but not recovery. The company must demonstrate several consecutive quarters of profitability and cash flow generation to repair its balance sheet and restore investor and creditor confidence. The risk of further charges or production delays remains elevated.</w:t>
      </w:r>
    </w:p>
    <w:p>
      <w:r>
        <w:rPr>
          <w:b w:val="0"/>
        </w:rPr>
        <w:t>We recommend the bank maintain its credit facility but with enhanced terms. Two specific financial covenants should be implemented: 1) A Minimum Liquidity Covenant, requiring Boeing to maintain unrestricted cash and cash equivalents of no less than $7.0 billion, measured quarterly. 2) A Maximum Leverage Covenant, based on Total Liabilities to Total Assets, not to exceed 95.0%, measured quarterly.</w:t>
      </w:r>
    </w:p>
    <w:p>
      <w:r>
        <w:rPr>
          <w:b w:val="0"/>
        </w:rPr>
        <w:t>The Credit Watch negative status reflects the potential for a downgrade if the company fails to return to sustained profitability in FY2026 or if its cash balance falls below the $7 billion threshold. Continued monitoring of the 10-Q filings and earnings calls is essential.</w:t>
      </w:r>
    </w:p>
    <w:p>
      <w:r>
        <w:rPr>
          <w:b w:val="0"/>
        </w:rPr>
        <w:t>The credit committee is advised to schedule a follow-up review in six months to reassess the company's performance against these new covenants and the broader market conditions in the aerospace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