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Investment Memo - Coca-Cola Company (KO)</w:t>
      </w:r>
    </w:p>
    <w:p>
      <w:r>
        <w:rPr>
          <w:b/>
        </w:rPr>
        <w:t>TO:</w:t>
        <w:tab/>
      </w:r>
      <w:r>
        <w:t>Institutional Client Coverage Team</w:t>
      </w:r>
    </w:p>
    <w:p>
      <w:r>
        <w:rPr>
          <w:b/>
        </w:rPr>
        <w:t>FROM:</w:t>
        <w:tab/>
      </w:r>
      <w:r>
        <w:t>Consumer Staples Equity Research</w:t>
      </w:r>
    </w:p>
    <w:p>
      <w:r>
        <w:rPr>
          <w:b/>
        </w:rPr>
        <w:t>DATE:</w:t>
        <w:tab/>
      </w:r>
      <w:r>
        <w:t>May 2026</w:t>
      </w:r>
    </w:p>
    <w:p>
      <w:r>
        <w:rPr>
          <w:b/>
        </w:rPr>
        <w:t>RE:</w:t>
        <w:tab/>
      </w:r>
      <w:r>
        <w:t>Investment Memo: The Coca-Cola Company (KO) - Q1 FY2026 Review</w:t>
      </w:r>
    </w:p>
    <w:p>
      <w:r>
        <w:t>________________________________________________________________________________</w:t>
      </w:r>
    </w:p>
    <w:p>
      <w:pPr>
        <w:pStyle w:val="Heading1"/>
      </w:pPr>
      <w:r>
        <w:t>Executive Summary</w:t>
      </w:r>
    </w:p>
    <w:p>
      <w:r>
        <w:rPr>
          <w:b w:val="0"/>
        </w:rPr>
        <w:t>The Coca-Cola Company (NYSE: KO) demonstrated resilient financial performance in Q1 FY2026, generating revenue of $12.5 billion and net income of $3.9 billion. The company maintains a robust profitability profile with diluted earnings per share of $0.91 for the quarter, representing a solid start to the fiscal year against the prior full-year EPS of $3.04.</w:t>
      </w:r>
    </w:p>
    <w:p>
      <w:r>
        <w:rPr>
          <w:b w:val="0"/>
        </w:rPr>
        <w:t>KO's gross margin remained strong at 63.0% in Q1 FY2026, consistent with the company's historical pricing power and brand strength. Operating income of $4.4 billion reflects disciplined cost management despite a competitive consumer environment. The balance sheet remains well-positioned with $10.6 billion in cash and cash equivalents and total stockholders' equity of $33.6 billion.</w:t>
      </w:r>
    </w:p>
    <w:p>
      <w:r>
        <w:rPr>
          <w:b w:val="0"/>
        </w:rPr>
        <w:t>Key risks include potential margin compression from input cost inflation and foreign currency headwinds, which are inherent to KO's global operating model. The annualized EPS run-rate based on Q1 FY2026 results suggests full-year earnings could exceed FY2025 levels, supporting our constructive view on the stock as a core defensive holding in the consumer staples sector.</w:t>
      </w:r>
    </w:p>
    <w:p>
      <w:pPr>
        <w:pStyle w:val="Heading1"/>
      </w:pPr>
      <w:r>
        <w:t>Financial Performance Analysis</w:t>
      </w:r>
    </w:p>
    <w:p>
      <w:r>
        <w:rPr>
          <w:b w:val="0"/>
        </w:rPr>
        <w:t>Revenue for The Coca-Cola Company has demonstrated stability across the reported periods. Full-year FY2025 revenue totaled $47.9 billion, with quarterly revenues averaging approximately $12.0 billion. Q1 FY2026 revenue of $12.5 billion represents the strongest quarterly result in the dataset, suggesting positive momentum entering the new fiscal year. Sequentially, revenue increased from Q2 2025 ($23.7 billion, or approximately $11.8 billion per half) and Q3 2025 quarter-specific revenue of $12.5 billion.</w:t>
      </w:r>
    </w:p>
    <w:p>
      <w:r>
        <w:rPr>
          <w:b w:val="0"/>
        </w:rPr>
        <w:t>Gross profit margin has been remarkably consistent. Q1 FY2026 gross margin was 63.0% ($7.9 billion on $12.5 billion revenue), compared to 61.6% for FY2025 ($29.5 billion on $47.9 billion). Q3 2025 quarterly gross margin was 61.5% ($7.7 billion on $12.5 billion). This margin stability reflects KO's pricing power and the relatively inelastic demand for its beverage portfolio.</w:t>
      </w:r>
    </w:p>
    <w:p>
      <w:r>
        <w:rPr>
          <w:b w:val="0"/>
        </w:rPr>
        <w:t>Operating income margins have shown improvement in recent quarters. Q1 FY2026 operating margin was 34.9% ($4.4 billion on $12.5 billion revenue), compared to FY2025 operating margin of 28.7% ($13.8 billion on $47.9 billion). The Q1 2026 operating margin expansion appears driven by SGA discipline, as selling, general and administrative expenses of $3.5 billion in Q1 2026 represented 27.8% of revenue, compared to 30.3% for FY2025 ($14.5 billion on $47.9 billion).</w:t>
      </w:r>
    </w:p>
    <w:p>
      <w:r>
        <w:rPr>
          <w:b w:val="0"/>
        </w:rPr>
        <w:t>Net income progression has been equally stable. Q1 FY2026 net income of $3.9 billion yielded a net margin of 31.5%, compared to FY2025 net margin of 27.3% ($13.1 billion on $47.9 billion). Diluted EPS of $0.91 in Q1 2026, when annualized, implies a run-rate of approximately $3.64 per share, representing a 19.7% premium to the FY2025 EPS of $3.04. This EPS acceleration is noteworthy and suggests improving per-share profitability.</w:t>
      </w:r>
    </w:p>
    <w:p>
      <w:pPr>
        <w:pStyle w:val="Heading1"/>
      </w:pPr>
      <w:r>
        <w:t>Balance Sheet and Liquidity Assessment</w:t>
      </w:r>
    </w:p>
    <w:p>
      <w:r>
        <w:rPr>
          <w:b w:val="0"/>
        </w:rPr>
        <w:t>The Coca-Cola Company's balance sheet demonstrates stability with modest quarterly fluctuations. Total assets stood at $104.2 billion as of Q1 FY2026, consistent with the $104.8 billion reported at FY2025 year-end. The asset base has remained within a narrow range of $104.2 billion to $106.0 billion over the trailing four quarters, reflecting the mature and capital-efficient nature of KO's business model.</w:t>
      </w:r>
    </w:p>
    <w:p>
      <w:r>
        <w:rPr>
          <w:b w:val="0"/>
        </w:rPr>
        <w:t>Stockholders' equity has grown meaningfully, rising from $28.6 billion in Q2 2025 to $33.6 billion in Q1 2026, an increase of $5.0 billion or 17.6% over three quarters. This equity growth is attributable to retained earnings accumulation, as quarterly net income consistently exceeds dividend payments. The equity-to-assets ratio improved to 32.3% in Q1 2026 from 27.4% in Q2 2025, indicating strengthening financial flexibility.</w:t>
      </w:r>
    </w:p>
    <w:p>
      <w:r>
        <w:rPr>
          <w:b w:val="0"/>
        </w:rPr>
        <w:t>Liquidity remains robust with cash and cash equivalents of $10.6 billion as of Q1 FY2026, up from $10.3 billion at FY2025 year-end. Cash represents 10.1% of total assets, providing ample cushion for working capital needs, dividend payments, and opportunistic capital deployment. The cash position has fluctuated between $9.6 billion and $12.7 billion over the trailing four quarters, with the Q3 2025 peak of $12.7 billion likely reflecting seasonal cash flow patterns.</w:t>
      </w:r>
    </w:p>
    <w:p>
      <w:pPr>
        <w:pStyle w:val="Heading1"/>
      </w:pPr>
      <w:r>
        <w:t>Valuation Considerations</w:t>
      </w:r>
    </w:p>
    <w:p>
      <w:r>
        <w:rPr>
          <w:b w:val="0"/>
        </w:rPr>
        <w:t>Using FY2025 diluted EPS of $3.04 as our earnings base, we can frame valuation at various price levels. At a share price of $65, the implied P/E multiple would be 21.4x. At $70, the multiple expands to 23.0x, and at $75, it reaches 24.7x. These multiples are within the historical range for large-cap consumer staples companies with KO's brand portfolio and global distribution reach.</w:t>
      </w:r>
    </w:p>
    <w:p>
      <w:r>
        <w:rPr>
          <w:b w:val="0"/>
        </w:rPr>
        <w:t>The Q1 FY2026 diluted EPS of $0.91, when annualized, suggests a forward earnings run-rate of approximately $3.64 per share. At the illustrative share price of $70, this annualized figure implies a forward P/E of 19.2x, which would represent a modest discount to the trailing multiple based on FY2025 earnings. The earnings acceleration from $3.04 to a $3.64 annualized pace represents approximately 19.7% growth, which could justify premium valuation multiples if the trend sustains.</w:t>
      </w:r>
    </w:p>
    <w:p>
      <w:r>
        <w:rPr>
          <w:b w:val="0"/>
        </w:rPr>
        <w:t>Investors should note that Q1 is typically not representative of full-year performance due to seasonality in beverage consumption. The annualized EPS calculation provides directionally useful information but should be weighted alongside full-year FY2025 results and management guidance when available.</w:t>
      </w:r>
    </w:p>
    <w:p>
      <w:pPr>
        <w:pStyle w:val="Heading1"/>
      </w:pPr>
      <w:r>
        <w:t>Risk Factors</w:t>
      </w:r>
    </w:p>
    <w:p>
      <w:r>
        <w:rPr>
          <w:b w:val="0"/>
        </w:rPr>
        <w:t>Margin Pressure: While Q1 FY2026 gross margins of 63.0% appear healthy, any sustained increase in commodity input costs, particularly sugar, aluminum for cans, and PET plastic, could compress margins in subsequent quarters. The FY2025 gross margin of 61.6% suggests that full-year margins may trail quarterly peaks, and investors should monitor cost trends closely.</w:t>
      </w:r>
    </w:p>
    <w:p>
      <w:r>
        <w:rPr>
          <w:b w:val="0"/>
        </w:rPr>
        <w:t>Revenue Sustainability: KO's revenue base of $47.9 billion in FY2025 is heavily dependent on consumer spending patterns and global economic conditions. In a potential recessionary environment, discretionary beverage spending could face headwinds. The relatively flat revenue trajectory across quarters ($12.0 billion to $12.5 billion range) also raises questions about organic growth potential in a mature market.</w:t>
      </w:r>
    </w:p>
    <w:p>
      <w:r>
        <w:rPr>
          <w:b w:val="0"/>
        </w:rPr>
        <w:t>Currency and Geographic Risk: As a global company, KO generates significant revenue outside the United States, exposing it to foreign currency translation risk. While not explicitly broken out in the provided financial data, currency fluctuations can meaningfully impact reported revenue and profitability, as evidenced by the quarterly variance in financial results.</w:t>
      </w:r>
    </w:p>
    <w:p>
      <w:r>
        <w:rPr>
          <w:b w:val="0"/>
        </w:rPr>
        <w:t>Balance Sheet Leverage Considerations: While stockholders' equity has grown to $33.6 billion, the total asset base of $104.2 billion implies significant leverage elsewhere in the capital structure. Investors should examine the debt maturity profile and interest coverage ratios not fully visible in the provided data to assess refinancing risk.</w:t>
      </w:r>
    </w:p>
    <w:p>
      <w:pPr>
        <w:pStyle w:val="Heading1"/>
      </w:pPr>
      <w:r>
        <w:t>Investment Recommendation</w:t>
      </w:r>
    </w:p>
    <w:p>
      <w:r>
        <w:rPr>
          <w:b w:val="0"/>
        </w:rPr>
        <w:t>We recommend a BUY rating on The Coca-Cola Company (KO) based on our analysis of the Q1 FY2026 financial results and the company's fundamental positioning in the consumer staples sector.</w:t>
      </w:r>
    </w:p>
    <w:p>
      <w:r>
        <w:rPr>
          <w:b w:val="0"/>
        </w:rPr>
        <w:t>The investment thesis rests on several pillars: (1) consistent profitability with Q1 2026 net margins of 31.5% and improving operating leverage; (2) a robust balance sheet with $10.6 billion in cash and growing stockholders' equity; (3) earnings momentum with Q1 2026 annualized EPS of $3.64 representing a meaningful acceleration from FY2025's $3.04; and (4) defensive characteristics that make KO attractive in uncertain macroeconomic environments.</w:t>
      </w:r>
    </w:p>
    <w:p>
      <w:r>
        <w:rPr>
          <w:b w:val="0"/>
        </w:rPr>
        <w:t>At an illustrative share price of $70, the forward P/E of 19.2x (based on annualized Q1 earnings) appears reasonable for a company of KO's quality, brand strength, and dividend growth potential. We view KO as a core holding for institutional investors seeking stable, growing cash flows within the consumer staples allocation.</w:t>
      </w:r>
    </w:p>
    <w:p>
      <w:r>
        <w:rPr>
          <w:b w:val="0"/>
        </w:rPr>
        <w:t>Key catalysts to monitor include: sustained gross margin above 62%, continued SGA discipline driving operating margin expansion, and quarterly EPS progression consistent with the Q1 2026 run-rate. Downside risks primarily involve commodity cost inflation and currency headwinds, which could pressure margins and reported earnings.</w:t>
      </w:r>
    </w:p>
    <w:p/>
    <w:p>
      <w:r>
        <w:t>Consumer Staples Equity Research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