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 - Pfizer Inc.</w:t>
      </w:r>
    </w:p>
    <w:p>
      <w:r>
        <w:rPr>
          <w:b/>
        </w:rPr>
        <w:t>TO:</w:t>
        <w:tab/>
      </w:r>
      <w:r>
        <w:t>Credit Committee</w:t>
      </w:r>
    </w:p>
    <w:p>
      <w:r>
        <w:rPr>
          <w:b/>
        </w:rPr>
        <w:t>FROM:</w:t>
        <w:tab/>
      </w:r>
      <w:r>
        <w:t>Healthcare &amp; Pharmaceuticals Coverage Group</w:t>
      </w:r>
    </w:p>
    <w:p>
      <w:r>
        <w:rPr>
          <w:b/>
        </w:rPr>
        <w:t>DATE:</w:t>
        <w:tab/>
      </w:r>
      <w:r>
        <w:t>May 2026</w:t>
      </w:r>
    </w:p>
    <w:p>
      <w:r>
        <w:rPr>
          <w:b/>
        </w:rPr>
        <w:t>RE:</w:t>
        <w:tab/>
      </w:r>
      <w:r>
        <w:t>Annual Credit Review - Pfizer Inc. (PFE) - Revolving Credit Facility</w:t>
      </w:r>
    </w:p>
    <w:p>
      <w:r>
        <w:t>________________________________________________________________________________</w:t>
      </w:r>
    </w:p>
    <w:p>
      <w:pPr>
        <w:pStyle w:val="Heading1"/>
      </w:pPr>
      <w:r>
        <w:t>Executive Summary</w:t>
      </w:r>
    </w:p>
    <w:p>
      <w:r>
        <w:rPr>
          <w:b w:val="0"/>
        </w:rPr>
        <w:t>This memorandum presents the annual credit assessment of Pfizer Inc. (NYSE: PFE) for the purpose of reviewing the company's revolving credit facility. Based on our analysis of financial performance from FY2022 through Q1 2026, we recommend approval of the facility renewal with enhanced monitoring covenants.</w:t>
      </w:r>
    </w:p>
    <w:p>
      <w:r>
        <w:rPr>
          <w:b w:val="0"/>
        </w:rPr>
        <w:t>Pfizer's revenue trajectory reflects the expected normalization from COVID-19-related product peak sales. Full-year revenue declined from $91.8 billion in FY2022 to $62.6 billion in FY2025, representing a contraction of approximately $29.2 billion or 32%. Q1 2026 revenue of $14.5 billion suggests continued stabilization at lower run-rate levels. Despite this significant top-line decline, Pfizer has maintained profitability with FY2025 net income of $7.8 billion and Q1 2026 net income of $2.7 billion.</w:t>
      </w:r>
    </w:p>
    <w:p>
      <w:r>
        <w:rPr>
          <w:b w:val="0"/>
        </w:rPr>
        <w:t>The balance sheet remains investment-grade quality with total stockholders' equity of $90.1 billion as of Q1 2026, supporting a liabilities-to-equity ratio of 1.30x. Cash and cash equivalents of $1.7 billion at Q1 2026 provide adequate near-term liquidity, though this metric warrants continued monitoring given the company's capital allocation priorities including dividend payments and acquisition activity.</w:t>
      </w:r>
    </w:p>
    <w:p>
      <w:r>
        <w:rPr>
          <w:b w:val="0"/>
        </w:rPr>
        <w:t>Key risks include continued revenue headwinds as COVID-19 product demand normalizes, patent expirations on key therapeutic franchises, and integration risk from recent acquisitions. These risks are partially offset by Pfizer's diversified pharmaceutical portfolio, strong market position, and significant scale advantages.</w:t>
      </w:r>
    </w:p>
    <w:p>
      <w:pPr>
        <w:pStyle w:val="Heading1"/>
      </w:pPr>
      <w:r>
        <w:t>Financial Performance Analysis</w:t>
      </w:r>
    </w:p>
    <w:p>
      <w:r>
        <w:rPr>
          <w:b w:val="0"/>
        </w:rPr>
        <w:t>Pfizer's revenue history demonstrates the dramatic impact of COVID-19 product sales on the company's top line. Full-year revenue peaked at $91.8 billion in FY2022 before declining to $50.9 billion in FY2023, a year-over-year decrease of $40.9 billion or 44.5%. Revenue recovered modestly to $62.6 billion in FY2025, reflecting growth in non-COVID therapeutic areas partially offset by continued COVID product declines.</w:t>
      </w:r>
    </w:p>
    <w:p>
      <w:r>
        <w:rPr>
          <w:b w:val="0"/>
        </w:rPr>
        <w:t>The quarterly revenue trajectory provides additional color on the stabilization trend. Q2 2025 revenue of $28.4 billion, Q3 2025 revenue of $16.7 billion, and Q1 2026 revenue of $14.5 billion suggest a quarterly run-rate in the $14-16 billion range, which would annualize to approximately $56-64 billion.</w:t>
      </w:r>
    </w:p>
    <w:p>
      <w:r>
        <w:rPr>
          <w:b w:val="0"/>
        </w:rPr>
        <w:t>Gross margins have remained relatively stable despite the significant revenue decline. Using COGS and revenue data from available periods, we calculate the following gross margins: FY2025 gross margin of 74.3% (revenue of $62.6 billion less COGS of $16.1 billion), Q1 2026 gross margin of 75.5% (revenue of $14.5 billion less COGS of $3.5 billion).</w:t>
      </w:r>
    </w:p>
    <w:p>
      <w:r>
        <w:rPr>
          <w:b w:val="0"/>
        </w:rPr>
        <w:t>The stability in gross margins suggests Pfizer has effectively managed its cost structure in response to declining volumes, with manufacturing cost reductions and product mix shifts offsetting the loss of high-margin COVID product sales. However, the elevated SG&amp;A expense of $13.8 billion in FY2025 (22.0% of revenue) represents a meaningful fixed cost base that could pressure operating margins if revenue declines further.</w:t>
      </w:r>
    </w:p>
    <w:p>
      <w:r>
        <w:rPr>
          <w:b w:val="0"/>
        </w:rPr>
        <w:t>SG&amp;A expense trends show some moderation from peak levels but remain elevated. Q1 2026 SG&amp;A of $3.0 billion annualizes to approximately $12 billion, which would represent an improvement relative to the FY2025 level and suggest management is actively managing the cost structure.</w:t>
      </w:r>
    </w:p>
    <w:p>
      <w:pPr>
        <w:pStyle w:val="Heading1"/>
      </w:pPr>
      <w:r>
        <w:t>Balance Sheet Assessment</w:t>
      </w:r>
    </w:p>
    <w:p>
      <w:r>
        <w:rPr>
          <w:b w:val="0"/>
        </w:rPr>
        <w:t>Pfizer maintains a substantial asset base with total assets of $207.6 billion as of Q1 2026, consistent with the $208.2 billion recorded at FY2025. Total assets have remained relatively stable across the observed periods, ranging from $206.1 billion (Q2 2025) to $208.7 billion (Q3 2025), suggesting the balance sheet has not experienced significant write-downs or impairments despite the revenue decline.</w:t>
      </w:r>
    </w:p>
    <w:p>
      <w:r>
        <w:rPr>
          <w:b w:val="0"/>
        </w:rPr>
        <w:t>The leverage profile, measured as total liabilities to stockholders' equity, has fluctuated modestly. As of Q1 2026, total liabilities of $117.2 billion against equity of $90.1 billion yields a ratio of 1.30x. This compares to 1.40x at FY2025 ($121.4 billion liabilities / $86.5 billion equity) and 1.25x at Q3 2025 ($115.6 billion liabilities / $92.8 billion equity).</w:t>
      </w:r>
    </w:p>
    <w:p>
      <w:r>
        <w:rPr>
          <w:b w:val="0"/>
        </w:rPr>
        <w:t>The improvement in the leverage ratio from FY2025 to Q1 2026 reflects both a reduction in liabilities (from $121.4 billion to $117.2 billion) and an increase in equity (from $86.5 billion to $90.1 billion). The liability reduction of $4.2 billion over one quarter is a positive credit signal, suggesting active debt management.</w:t>
      </w:r>
    </w:p>
    <w:p>
      <w:r>
        <w:rPr>
          <w:b w:val="0"/>
        </w:rPr>
        <w:t>Liquidity as measured by cash and cash equivalents is modest relative to the company's scale. Q1 2026 cash of $1.7 billion represents only 1.5% of total liabilities, though this metric improved from $1.1 billion at FY2025. The low cash-to-liabilities ratio is common for investment-grade pharmaceutical companies that maintain committed credit facilities and generate substantial operating cash flows, but it does indicate limited buffer against unexpected cash needs.</w:t>
      </w:r>
    </w:p>
    <w:p>
      <w:r>
        <w:rPr>
          <w:b w:val="0"/>
        </w:rPr>
        <w:t>Stockholders' equity grew from $86.5 billion at FY2025 to $90.1 billion at Q1 2026, an increase of $3.6 billion or 4.2%. This equity growth, combined with the net income of $2.7 billion in Q1 2026, suggests retained earnings are building equity capital and providing additional loss-absorption capacity for creditors.</w:t>
      </w:r>
    </w:p>
    <w:p>
      <w:pPr>
        <w:pStyle w:val="Heading1"/>
      </w:pPr>
      <w:r>
        <w:t>Earnings Quality and Profitability</w:t>
      </w:r>
    </w:p>
    <w:p>
      <w:r>
        <w:rPr>
          <w:b w:val="0"/>
        </w:rPr>
        <w:t>Pfizer's net income performance demonstrates earnings resilience despite the dramatic revenue contraction. FY2025 net income of $7.8 billion compares favorably to FY2022 levels when adjusted for the revenue decline, representing a net margin of 12.4%. Q1 2026 net income of $2.7 billion implies a quarterly run-rate that would annualize to approximately $10.7 billion, suggesting improving profitability trends.</w:t>
      </w:r>
    </w:p>
    <w:p>
      <w:r>
        <w:rPr>
          <w:b w:val="0"/>
        </w:rPr>
        <w:t>Diluted earnings per share follow a similar trajectory. FY2025 diluted EPS of $1.36, while below the FY2022 peak, reflects a stabilized earnings base. Q1 2026 diluted EPS of $0.47 annualizes to approximately $1.88, representing a 38% improvement over the FY2025 annual figure, though quarterly seasonality may affect this extrapolation.</w:t>
      </w:r>
    </w:p>
    <w:p>
      <w:r>
        <w:rPr>
          <w:b w:val="0"/>
        </w:rPr>
        <w:t>The quarterly EPS progression shows meaningful variability: Q2 2025 EPS of $1.03, Q3 2025 EPS of $0.62, and Q1 2026 EPS of $0.47. This variability may reflect timing of product sales, R&amp;D spending patterns, or non-recurring items. The Q3 2025 and Q1 2026 figures suggest lower quarterly earnings capacity than Q2 2025, warranting further investigation into the drivers of this variability.</w:t>
      </w:r>
    </w:p>
    <w:p>
      <w:r>
        <w:rPr>
          <w:b w:val="0"/>
        </w:rPr>
        <w:t>The relationship between revenue decline and earnings stability is a key credit consideration. While revenue declined 32% from FY2022 to FY2025, the decline in net income has been more moderate, suggesting operating leverage and cost management have partially offset the revenue headwind. Gross margin stability around 74-75% indicates the remaining product portfolio maintains healthy profitability.</w:t>
      </w:r>
    </w:p>
    <w:p>
      <w:r>
        <w:rPr>
          <w:b w:val="0"/>
        </w:rPr>
        <w:t>Profitability metrics also highlight the impact of Pfizer's cost reduction initiatives. The SG&amp;A expense ratio of 22.0% in FY2025, while elevated, represents a meaningful effort to align the cost structure with the lower revenue base. Continued progress on cost optimization will be critical to maintaining earnings quality as the company navigates the post-COVID revenue landscape.</w:t>
      </w:r>
    </w:p>
    <w:p>
      <w:pPr>
        <w:pStyle w:val="Heading1"/>
      </w:pPr>
      <w:r>
        <w:t>Key Credit Risks</w:t>
      </w:r>
    </w:p>
    <w:p>
      <w:r>
        <w:rPr>
          <w:b w:val="0"/>
        </w:rPr>
        <w:t>The most significant near-term credit risk is the continued normalization of COVID-19 product revenue. Pfizer's revenue decline from $91.8 billion to $62.6 billion between FY2022 and FY2025 was driven primarily by reduced demand for COVID-19 vaccines and therapeutics. While the worst of this decline appears to be behind the company, further downside remains if COVID-19 products continue to erode faster than non-COVID growth drivers can compensate.</w:t>
      </w:r>
    </w:p>
    <w:p>
      <w:r>
        <w:rPr>
          <w:b w:val="0"/>
        </w:rPr>
        <w:t>Patent expirations represent a structural risk common to all large pharmaceutical companies. Pfizer faces potential loss of exclusivity on several key therapeutic franchises over the medium term, which could create additional revenue headwinds beyond the COVID-19 normalization. The company's ability to replenish its pipeline through internal R&amp;D and external acquisitions will be critical to maintaining long-term revenue stability.</w:t>
      </w:r>
    </w:p>
    <w:p>
      <w:r>
        <w:rPr>
          <w:b w:val="0"/>
        </w:rPr>
        <w:t>Pfizer's active acquisition strategy introduces integration and execution risk. While acquisitions can accelerate growth, they also increase leverage, consume management attention, and carry the risk of overpayment or underperformance. The recent stability in total assets around $208 billion suggests the balance sheet has absorbed recent acquisition activity, but future transactions could alter the credit profile.</w:t>
      </w:r>
    </w:p>
    <w:p>
      <w:r>
        <w:rPr>
          <w:b w:val="0"/>
        </w:rPr>
        <w:t>Industry-specific risks include pricing pressure from government healthcare programs, regulatory scrutiny of pharmaceutical pricing, and competitive dynamics in key therapeutic areas. The pharmaceutical sector also faces increasing generic and biosimilar competition, which can erode market share and pricing power on mature products.</w:t>
      </w:r>
    </w:p>
    <w:p>
      <w:r>
        <w:rPr>
          <w:b w:val="0"/>
        </w:rPr>
        <w:t>Pfizer's diversified therapeutic portfolio, global commercial infrastructure, and scale provide meaningful offsets to these risks. The company's ability to maintain gross margins above 74% despite a $29 billion revenue decline demonstrates the resilience of its underlying business model. However, the credit committee should monitor the pace of revenue stabilization, cost optimization progress, and capital allocation decisions on a quarterly basis.</w:t>
      </w:r>
    </w:p>
    <w:p>
      <w:pPr>
        <w:pStyle w:val="Heading1"/>
      </w:pPr>
      <w:r>
        <w:t>Credit Recommendation</w:t>
      </w:r>
    </w:p>
    <w:p>
      <w:r>
        <w:rPr>
          <w:b w:val="0"/>
        </w:rPr>
        <w:t>Based on the analysis presented above, we recommend approval of Pfizer Inc.'s revolving credit facility renewal with the following conditions: (1) maintenance of a liabilities-to-equity ratio not exceeding 1.50x, (2) minimum cash and cash equivalents of $1.0 billion, and (3) quarterly financial reporting to the bank's relationship management team.</w:t>
      </w:r>
    </w:p>
    <w:p>
      <w:r>
        <w:rPr>
          <w:b w:val="0"/>
        </w:rPr>
        <w:t>The recommendation reflects Pfizer's investment-grade credit characteristics including a diversified pharmaceutical portfolio, substantial equity base of $90.1 billion, stable gross margins above 74%, and demonstrated ability to maintain profitability despite a significant revenue contraction. The company's leverage ratio of 1.30x as of Q1 2026 is conservative for the pharmaceutical sector and provides adequate cushion for the proposed facility size.</w:t>
      </w:r>
    </w:p>
    <w:p>
      <w:r>
        <w:rPr>
          <w:b w:val="0"/>
        </w:rPr>
        <w:t>The enhanced monitoring covenants are warranted given the ongoing revenue normalization process and the potential for further headwinds from patent expirations and competitive dynamics. The minimum cash covenant of $1.0 billion is set below the current Q1 2026 level of $1.7 billion but above the FY2025 level of $1.1 billion, providing a reasonable buffer.</w:t>
      </w:r>
    </w:p>
    <w:p>
      <w:r>
        <w:rPr>
          <w:b w:val="0"/>
        </w:rPr>
        <w:t>Risks to this recommendation include an accelerated decline in COVID-19 product revenue, unsuccessful integration of recent acquisitions, or unexpected large capital deployments that could strain the balance sheet. The credit committee should revisit this assessment if quarterly revenue falls below $13 billion, leverage exceeds 1.40x, or cash falls below $1.2 billion.</w:t>
      </w:r>
    </w:p>
    <w:p>
      <w:r>
        <w:rPr>
          <w:b w:val="0"/>
        </w:rPr>
        <w:t>In summary, Pfizer's fundamental credit quality remains sound despite the significant transition from peak COVID-19 product sales. The proposed facility structure with enhanced monitoring provides appropriate risk mitigation while supporting a valued banking relationship with one of the world's largest pharmaceutical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