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Memo - Procter &amp; Gamble Co.</w:t>
      </w:r>
    </w:p>
    <w:p>
      <w:r>
        <w:rPr>
          <w:b/>
        </w:rPr>
        <w:t>TO:</w:t>
        <w:tab/>
      </w:r>
      <w:r>
        <w:t>Credit Committee</w:t>
      </w:r>
    </w:p>
    <w:p>
      <w:r>
        <w:rPr>
          <w:b/>
        </w:rPr>
        <w:t>FROM:</w:t>
        <w:tab/>
      </w:r>
      <w:r>
        <w:t>Commercial Banking Group - Credit Analysis Team</w:t>
      </w:r>
    </w:p>
    <w:p>
      <w:r>
        <w:rPr>
          <w:b/>
        </w:rPr>
        <w:t>DATE:</w:t>
        <w:tab/>
      </w:r>
      <w:r>
        <w:t>April 2026</w:t>
      </w:r>
    </w:p>
    <w:p>
      <w:r>
        <w:rPr>
          <w:b/>
        </w:rPr>
        <w:t>RE:</w:t>
        <w:tab/>
      </w:r>
      <w:r>
        <w:t>Credit Assessment - Procter &amp; Gamble Co. (NYSE: PG) - Unsecured Revolving Credit Facility</w:t>
      </w:r>
    </w:p>
    <w:p>
      <w:r>
        <w:t>________________________________________________________________________________</w:t>
      </w:r>
    </w:p>
    <w:p>
      <w:pPr>
        <w:pStyle w:val="Heading1"/>
      </w:pPr>
      <w:r>
        <w:t>Executive Summary</w:t>
      </w:r>
    </w:p>
    <w:p>
      <w:r>
        <w:rPr>
          <w:b w:val="0"/>
        </w:rPr>
        <w:t>We recommend APPROVAL of Procter &amp; Gamble Co.'s proposed unsecured revolving credit facility increase, subject to standard financial covenants and reporting requirements. P&amp;G demonstrates exceptional creditworthiness characterized by consistent revenue generation, strong profitability margins, and a robust balance sheet position that supports the proposed facility expansion.</w:t>
      </w:r>
    </w:p>
    <w:p>
      <w:r>
        <w:rPr>
          <w:b w:val="0"/>
        </w:rPr>
        <w:t>Procter &amp; Gamble generated consolidated revenues of $22.39 billion in Q1 FY2026, $22.21 billion in Q2 FY2026, and $21.24 billion in Q3 FY2026, demonstrating stable quarterly performance. The company reported net income of $4.75 billion in Q1, $4.32 billion in Q2, and $3.93 billion in Q3 FY2026, with diluted EPS ranging from $1.63 to $1.95 across these quarters.</w:t>
      </w:r>
    </w:p>
    <w:p>
      <w:r>
        <w:rPr>
          <w:b w:val="0"/>
        </w:rPr>
        <w:t>Total assets grew from $125.23 billion at FY2025 to $128.38 billion by Q3 FY2026, while total liabilities remained relatively stable at $73.65 billion, resulting in a leverage ratio of approximately 0.57x, indicating conservative financial management. The company's cumulative nine-month operating income of $15.80 billion demonstrates strong earnings capacity.</w:t>
      </w:r>
    </w:p>
    <w:p>
      <w:r>
        <w:rPr>
          <w:b w:val="0"/>
        </w:rPr>
        <w:t>Key risks include potential margin compression from input cost inflation, competitive pressures in the consumer staples sector, and exposure to global supply chain disruptions. However, P&amp;G's diversified brand portfolio, pricing power, and market-leading positions mitigate these risks substantially.</w:t>
      </w:r>
    </w:p>
    <w:p>
      <w:r>
        <w:rPr>
          <w:b w:val="0"/>
        </w:rPr>
        <w:t>We recommend setting facility terms with a 5-year maturity, investment-grade pricing tier, and financial covenants including maximum leverage of 3.5x and minimum interest coverage of 3.0x.</w:t>
      </w:r>
    </w:p>
    <w:p>
      <w:pPr>
        <w:pStyle w:val="Heading1"/>
      </w:pPr>
      <w:r>
        <w:t>Company Overview</w:t>
      </w:r>
    </w:p>
    <w:p>
      <w:r>
        <w:rPr>
          <w:b w:val="0"/>
        </w:rPr>
        <w:t>Procter &amp; Gamble Co. (NYSE: PG) is a multinational consumer goods corporation. The company operates in the consumer_staples sector, manufacturing and marketing branded consumer packaged goods across multiple categories including beauty, grooming, health care, fabric and home care, and baby, feminine and family care.</w:t>
      </w:r>
    </w:p>
    <w:p>
      <w:r>
        <w:rPr>
          <w:b w:val="0"/>
        </w:rPr>
        <w:t>P&amp;G's business model centers on innovation-driven brand management. The company invests significantly in research and development, with R&amp;D expenses of $2.1 billion in FY2025 and $2.0 billion in each of FY2023 and FY2024, demonstrating commitment to product innovation.</w:t>
      </w:r>
    </w:p>
    <w:p>
      <w:r>
        <w:rPr>
          <w:b w:val="0"/>
        </w:rPr>
        <w:t>The company's competitive positioning is characterized by market leadership in multiple product categories, extensive global distribution networks, and significant economies of scale. P&amp;G's brand portfolio provides pricing power and consumer loyalty.</w:t>
      </w:r>
    </w:p>
    <w:p>
      <w:r>
        <w:rPr>
          <w:b w:val="0"/>
        </w:rPr>
        <w:t>P&amp;G's operations span approximately 180 countries, with manufacturing facilities worldwide. The global footprint provides geographic diversification but exposes it to currency fluctuations, geopolitical risks, and varying regulatory environments.</w:t>
      </w:r>
    </w:p>
    <w:p>
      <w:pPr>
        <w:pStyle w:val="Heading1"/>
      </w:pPr>
      <w:r>
        <w:t>Financial Analysis</w:t>
      </w:r>
    </w:p>
    <w:p>
      <w:r>
        <w:rPr>
          <w:b w:val="0"/>
        </w:rPr>
        <w:t>Revenue Analysis: P&amp;G demonstrated stable revenue generation across the first three quarters of FY2026. Quarterly revenues were $22.39 billion (Q1), $22.21 billion (Q2), and $21.24 billion (Q3), with cumulative nine-month revenues of $65.83 billion.</w:t>
      </w:r>
    </w:p>
    <w:p>
      <w:r>
        <w:rPr>
          <w:b w:val="0"/>
        </w:rPr>
        <w:t>Profitability Analysis: Cost of goods sold for the nine-month period totaled $32.44 billion against revenues of $65.83 billion, yielding a cumulative gross margin of approximately 50.7%. Operating income of $15.80 billion for the nine-month period represents an operating margin of approximately 24.0%.</w:t>
      </w:r>
    </w:p>
    <w:p>
      <w:r>
        <w:rPr>
          <w:b w:val="0"/>
        </w:rPr>
        <w:t>Quarterly operating margins showed variability: Q1 FY2026 was approximately 26.2% ($5.86B/$22.39B), Q2 was approximately 24.2% ($5.37B/$22.21B), and Q3 was approximately 21.5% ($4.58B/$21.24B). The declining trend warrants monitoring but remains within acceptable ranges for the consumer staples sector.</w:t>
      </w:r>
    </w:p>
    <w:p>
      <w:r>
        <w:rPr>
          <w:b w:val="0"/>
        </w:rPr>
        <w:t>Net Income and EPS: Q1 FY2026 net income was $4.75 billion ($1.95 diluted EPS), Q2 was $4.32 billion ($1.78 diluted EPS), and Q3 was $3.93 billion ($1.63 diluted EPS). Cumulative nine-month net income reached $13.00 billion with $5.36 diluted EPS, demonstrating consistent profitability.</w:t>
      </w:r>
    </w:p>
    <w:p>
      <w:r>
        <w:rPr>
          <w:b w:val="0"/>
        </w:rPr>
        <w:t>Operating Expenses: Selling, general, and administrative expenses totaled $17.59 billion for the nine-month period, representing approximately 26.7% of revenues. Quarterly SG&amp;A ranged from $5.64 billion to $6.01 billion. Research and development expenses remained consistent at $2.0 to $2.1 billion annually.</w:t>
      </w:r>
    </w:p>
    <w:p>
      <w:r>
        <w:rPr>
          <w:b w:val="0"/>
        </w:rPr>
        <w:t>Balance Sheet Strength: Total assets increased from $125.23 billion at FY2025 to $128.38 billion by Q3 FY2026. Total liabilities were $73.65 billion at Q3 FY2026, stable from $72.95 billion at FY2025. The leverage ratio stood at approximately 0.57x, well below typical covenant thresholds.</w:t>
      </w:r>
    </w:p>
    <w:p>
      <w:r>
        <w:rPr>
          <w:b w:val="0"/>
        </w:rPr>
        <w:t>Liquidity Position: Historical data shows cash and cash equivalents of $9.30 billion at Q1 FY2020, indicating the company maintains substantial liquidity reserves. Strong operating cash flow generation, evidenced by consistent profitability, supports adequate liquidity for debt service.</w:t>
      </w:r>
    </w:p>
    <w:p>
      <w:pPr>
        <w:pStyle w:val="Heading1"/>
      </w:pPr>
      <w:r>
        <w:t>Risk Assessment</w:t>
      </w:r>
    </w:p>
    <w:p>
      <w:r>
        <w:rPr>
          <w:b w:val="0"/>
        </w:rPr>
        <w:t>Revenue Concentration Risk: P&amp;G's revenue generation demonstrates relatively stable quarterly patterns across Q1-Q3 FY2026, with revenues ranging from $21.24 billion to $22.39 billion. The company's diversified product portfolio reduces concentration risk, though specific category-level revenue breakdowns are not available in the provided data.</w:t>
      </w:r>
    </w:p>
    <w:p>
      <w:r>
        <w:rPr>
          <w:b w:val="0"/>
        </w:rPr>
        <w:t>Margin Compression Risk: The observed decline in operating margins from 26.2% in Q1 to 21.5% in Q3 FY2026 represents a potential margin compression trend. This could reflect input cost inflation, promotional spending, or unfavorable product mix shifts. However, P&amp;G's market-leading brands provide tools to mitigate margin pressure.</w:t>
      </w:r>
    </w:p>
    <w:p>
      <w:r>
        <w:rPr>
          <w:b w:val="0"/>
        </w:rPr>
        <w:t>Competitive Risk: The consumer staples sector faces ongoing competitive pressures from both established multinational competitors and emerging private label alternatives. P&amp;G's significant R&amp;D investment of $2.1 billion in FY2025 and brand portfolio strength position it favorably against competitive threats.</w:t>
      </w:r>
    </w:p>
    <w:p>
      <w:r>
        <w:rPr>
          <w:b w:val="0"/>
        </w:rPr>
        <w:t>Operational Risk: P&amp;G's global operations expose the company to supply chain disruptions, currency fluctuations, and geopolitical uncertainties. The recent 8-K filings from April 2026 may contain disclosures related to operational developments.</w:t>
      </w:r>
    </w:p>
    <w:p>
      <w:r>
        <w:rPr>
          <w:b w:val="0"/>
        </w:rPr>
        <w:t>Mitigating Factors: P&amp;G's credit profile benefits from strong brand portfolio providing pricing power, consistent profitability across economic cycles, conservative leverage at 0.57x, stable SG&amp;A management at approximately 27% of revenues, and continuous R&amp;D investment supporting long-term brand equity.</w:t>
      </w:r>
    </w:p>
    <w:p>
      <w:pPr>
        <w:pStyle w:val="Heading1"/>
      </w:pPr>
      <w:r>
        <w:t>Proposed Covenants and Structural Protections</w:t>
      </w:r>
    </w:p>
    <w:p>
      <w:r>
        <w:rPr>
          <w:b w:val="0"/>
        </w:rPr>
        <w:t>Based on P&amp;G's financial profile and industry benchmarks for investment-grade consumer staples companies, we recommend the following covenant package for the proposed unsecured revolving credit facility:</w:t>
      </w:r>
    </w:p>
    <w:p>
      <w:r>
        <w:rPr>
          <w:b w:val="0"/>
        </w:rPr>
        <w:t>Maximum Leverage Ratio: Total Debt to EBITDA not to exceed 3.5x, tested quarterly. With P&amp;G's current leverage at approximately 0.57x (liabilities to assets), this covenant provides substantial headroom while maintaining appropriate lender protection.</w:t>
      </w:r>
    </w:p>
    <w:p>
      <w:r>
        <w:rPr>
          <w:b w:val="0"/>
        </w:rPr>
        <w:t>Minimum Interest Coverage: EBITDA to Interest Expense of at least 3.0x, tested quarterly. P&amp;G's strong operating margins of 21-26% generate ample earnings to cover interest obligations. The company's historical profitability suggests minimal risk of covenant breach.</w:t>
      </w:r>
    </w:p>
    <w:p>
      <w:r>
        <w:rPr>
          <w:b w:val="0"/>
        </w:rPr>
        <w:t>Minimum Liquidity: Cash and cash equivalents plus available revolver capacity of at least $5.0 billion. Historical data shows P&amp;G maintains substantial cash balances of $9.3 billion at Q1 FY2020, and the company's strong cash flow generation supports liquidity maintenance.</w:t>
      </w:r>
    </w:p>
    <w:p>
      <w:r>
        <w:rPr>
          <w:b w:val="0"/>
        </w:rPr>
        <w:t>Reporting Requirements: Quarterly financial statements within 60 days of quarter-end, annual audited financials within 90 days of fiscal year-end, and prompt notice of material adverse changes, litigation, or regulatory actions.</w:t>
      </w:r>
    </w:p>
    <w:p>
      <w:r>
        <w:rPr>
          <w:b w:val="0"/>
        </w:rPr>
        <w:t>Additional Protections: Standard negative pledge, restrictions on subsidiary debt incurrence, and limitations on asset sales exceeding $500 million. These provisions are consistent with market terms for investment-grade unsecured facilities.</w:t>
      </w:r>
    </w:p>
    <w:p>
      <w:pPr>
        <w:pStyle w:val="Heading1"/>
      </w:pPr>
      <w:r>
        <w:t>Conclusion and Recommended Terms</w:t>
      </w:r>
    </w:p>
    <w:p>
      <w:r>
        <w:rPr>
          <w:b w:val="0"/>
        </w:rPr>
        <w:t>Based on our comprehensive analysis, we recommend APPROVAL of Procter &amp; Gamble Co.'s proposed unsecured revolving credit facility increase. P&amp;G presents a compelling credit profile characterized by market leadership in consumer staples, consistent financial performance, and conservative balance sheet management.</w:t>
      </w:r>
    </w:p>
    <w:p>
      <w:r>
        <w:rPr>
          <w:b w:val="0"/>
        </w:rPr>
        <w:t>Recommended Facility Terms: We propose a 5-year unsecured revolving credit facility with the following terms: investment-grade pricing tier, financial covenants as outlined in the covenant section, and standard representations and warranties.</w:t>
      </w:r>
    </w:p>
    <w:p>
      <w:r>
        <w:rPr>
          <w:b w:val="0"/>
        </w:rPr>
        <w:t>Pricing Recommendation: Given P&amp;G's strong credit profile, we recommend pricing at the investment-grade level, approximately 50-75 basis points over SOFR for drawn balances, with a commitment fee of 10-15 basis points on undrawn amounts.</w:t>
      </w:r>
    </w:p>
    <w:p>
      <w:r>
        <w:rPr>
          <w:b w:val="0"/>
        </w:rPr>
        <w:t>Conditions for Approval: Satisfactory completion of updated legal due diligence, review of recent 8-K filings from April 2026 for material disclosures, confirmation of no material adverse changes in business operations, and execution of standard documentation.</w:t>
      </w:r>
    </w:p>
    <w:p>
      <w:r>
        <w:rPr>
          <w:b w:val="0"/>
        </w:rPr>
        <w:t>Overall Risk Rating: We assign P&amp;G a credit risk rating of Low Risk based on the company's financial strength, market position, and operational stability. The company's leverage ratio of 0.57x, operating margins above 20%, and consistent quarterly revenues above $21 billion support this assessment.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