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Employee Payroll and Workforce Overview</w:t>
      </w:r>
    </w:p>
    <w:p>
      <w:r>
        <w:t>Subject: Payroll and Workforce Performance Snapshot</w:t>
      </w:r>
    </w:p>
    <w:p>
      <w:r>
        <w:t>Date: September 24, 2025</w:t>
      </w:r>
    </w:p>
    <w:p>
      <w:r>
        <w:t>Prepared by: HR Analytics Team</w:t>
      </w:r>
    </w:p>
    <w:p>
      <w:pPr>
        <w:pStyle w:val="Heading2"/>
      </w:pPr>
      <w:r>
        <w:t>Executive Summary</w:t>
      </w:r>
    </w:p>
    <w:p>
      <w:r>
        <w:t>The payroll dataset provides insights into employee compensation, departmental distribution, performance ratings, and workload contributions through overtime. This analysis highlights workforce strengths in engineering, leadership needs in sales and marketing, and geographic clustering across New York, Los Angeles, and Chicago.</w:t>
      </w:r>
    </w:p>
    <w:p>
      <w:pPr>
        <w:pStyle w:val="Heading2"/>
      </w:pPr>
      <w:r>
        <w:t>Compensation and Departmental Trends</w:t>
      </w:r>
    </w:p>
    <w:p>
      <w:r>
        <w:t>Salaries vary by role, with the highest compensation observed in Engineering Senior Developers (Alice Johnson – $95,000) and the lowest in Sales Representatives ($52,000).</w:t>
        <w:br/>
        <w:t>Engineering employs both senior and junior developers, reflecting a pipeline approach to talent development.</w:t>
        <w:br/>
        <w:t>Marketing and Sales salaries (Bob Smith – $78,000, David Wilson – $52,000) align with industry benchmarks but reflect less variability compared to technical roles.</w:t>
        <w:br/>
        <w:t>HR specialists earn $58,000, balancing between administrative and people-focused roles.</w:t>
      </w:r>
    </w:p>
    <w:p>
      <w:pPr>
        <w:pStyle w:val="Heading2"/>
      </w:pPr>
      <w:r>
        <w:t>Performance and Overtime</w:t>
      </w:r>
    </w:p>
    <w:p>
      <w:r>
        <w:t>Performance ratings range from 3.5 to 4.5, with Carol Davis (Engineering, 4.5) achieving the highest score, signaling strong individual contribution.</w:t>
        <w:br/>
        <w:t>Overtime hours reflect workload pressures: Carol Davis logged 18 hours, compared to 12 (Alice Johnson) and 3 (Emma Brown).</w:t>
        <w:br/>
        <w:t>High overtime in engineering suggests heavy project demand, while HR and Marketing show minimal additional hours.</w:t>
      </w:r>
    </w:p>
    <w:p>
      <w:pPr>
        <w:pStyle w:val="Heading2"/>
      </w:pPr>
      <w:r>
        <w:t>Tenure and Leadership</w:t>
      </w:r>
    </w:p>
    <w:p>
      <w:r>
        <w:t>Tenure spans from 2019 (Bob Smith) to 2022 (David Wilson), with a balanced mix of experienced and newer hires.</w:t>
        <w:br/>
        <w:t>Managerial oversight is distributed across multiple managers (M001–M004), though Engineering staff report to the same manager, indicating centralized leadership.</w:t>
      </w:r>
    </w:p>
    <w:p>
      <w:pPr>
        <w:pStyle w:val="Heading2"/>
      </w:pPr>
      <w:r>
        <w:t>Location Insights</w:t>
      </w:r>
    </w:p>
    <w:p>
      <w:r>
        <w:t>New York emerges as a hub, employing both Alice Johnson and Carol Davis in Engineering, plus Emma Brown in HR.</w:t>
        <w:br/>
        <w:t>Los Angeles hosts Marketing leadership, while Chicago anchors Sales. This suggests regionally distributed functions aligning with organizational strategy.</w:t>
      </w:r>
    </w:p>
    <w:p>
      <w:pPr>
        <w:pStyle w:val="Heading2"/>
      </w:pPr>
      <w:r>
        <w:t>Conclusion</w:t>
      </w:r>
    </w:p>
    <w:p>
      <w:r>
        <w:t>The payroll data reveals a workforce anchored by engineering excellence, supported by specialized functions in marketing, HR, and sales. Compensation reflects role complexity, while overtime trends highlight workload imbalances in engineering. Targeted support in sales and marketing, coupled with balanced workload distribution, can strengthen overall organizational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