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 w:cs="Microsoft YaHei"/>
          <w:b/>
          <w:i w:val="0"/>
          <w:color w:val="9B1C1C"/>
          <w:sz w:val="34"/>
        </w:rPr>
        <w:t>PDAC V16：从哪一版开始改、审稿人会怎么打、我们怎么执行</w:t>
      </w:r>
    </w:p>
    <w:p>
      <w:pPr>
        <w:spacing w:after="240"/>
      </w:pPr>
      <w:r>
        <w:rPr>
          <w:rFonts w:ascii="Microsoft YaHei" w:hAnsi="Microsoft YaHei" w:eastAsia="Microsoft YaHei" w:cs="Microsoft YaHei"/>
          <w:b w:val="0"/>
          <w:i w:val="0"/>
          <w:color w:val="6B7280"/>
          <w:sz w:val="20"/>
        </w:rPr>
        <w:t>目标期刊按目录里的 Cover_Letter_JHO_2026_v2.docx 推断为 Journal of Hematology &amp; Oncology 一档　·　2026-08-24　·　第二部分是模拟审稿意见，按该档期刊严苛审稿人的口径写，不是真实评审</w:t>
      </w:r>
    </w:p>
    <w:p>
      <w:pPr>
        <w:pStyle w:val="Heading1"/>
      </w:pPr>
      <w:r>
        <w:t>第一部分　从哪个 Word 版本开始改</w:t>
      </w:r>
    </w:p>
    <w:p>
      <w:pPr>
        <w:pStyle w:val="Heading2"/>
      </w:pPr>
      <w:r>
        <w:t>结论：从 2026-08-20_pdac_V16.docx（原件）开始，另存为 V17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2"/>
        </w:rPr>
        <w:t>不要在 pdac_V16_修改版.docx 上继续。理由是两边的「修复成本」完全不对称。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从原件开始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从修改版开始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Paperpile 引文域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76 个完好，138 条零空号，首现严格递增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74 个，83 号成孤儿；需赶在刷新前用 Paperpile 重插 2 条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批注锚点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65 条完整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id 41 / 42 的 commentReference 已丢。Word 界面里无法给已有批注补回锚点，只能删掉重加——作者会变成操作者本人，时间戳也变，王老师那条意见的归属就没了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富文本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2,475 run，加粗标记 235、斜体 60、下标 5 全在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2,269 run，加粗 192、斜体 55、下标 3；要靠人肉比对才知道哪些该粗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需要补的工作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手工回填 5 处安全改动，Word 里 20–30 分钟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修 2 条域 + 找回 43 处加粗 + 5 处斜体 + 2 处下标 + 2 条批注（不可逆）</w:t>
            </w:r>
          </w:p>
        </w:tc>
      </w:tr>
    </w:tbl>
    <w:p/>
    <w:p>
      <w:pPr>
        <w:spacing w:after="160"/>
      </w:pPr>
      <w:r>
        <w:rPr>
          <w:rFonts w:ascii="Microsoft YaHei" w:hAnsi="Microsoft YaHei" w:eastAsia="Microsoft YaHei" w:cs="Microsoft YaHei"/>
          <w:b/>
          <w:i w:val="0"/>
          <w:color w:val="9B1C1C"/>
          <w:sz w:val="22"/>
        </w:rPr>
        <w:t>决定性的一条是批注。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2"/>
        </w:rPr>
        <w:t>其余损伤都能修，唯独丢了 commentReference 的批注在 Word 里补不回来。而丢的那条正是王老师的「ppt里面是Figure 1d，序号都不对」——一条尚未解决的意见。从原件走，这条自然还在。</w:t>
      </w:r>
    </w:p>
    <w:p>
      <w:pPr>
        <w:pStyle w:val="Heading2"/>
      </w:pPr>
      <w:r>
        <w:t>回填哪几处：8 处改动逐条裁决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2"/>
        </w:rPr>
        <w:t>修改版那 8 处不是都该要。有 3 处经核查本身就有问题，回填时应当跳过。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改动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裁决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1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摘要补 52 vs. 21 days; HR = 0.35, P = 0.003 等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回填（附条件）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数字本身要先过 M7：n、检验方法、PH 假设。核不实就退回定性表述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2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Figure 2d 正文段改写成 MYC / apoptosis / angiogenesis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暂缓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原文点名的 6 条通路在 v3 面板上全有，本来自洽。改完只有 3 条能在 v4 面板找到，angiogenesis 全套 PPT 都没有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3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正文 8 个 HLA 位点加星号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回填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纯规范，无争议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4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sq4 肽数 12 → 20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暂缓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附表里没有任何一张给出 sq1–sq4 组成，「20」无处可核。先补表，再改数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5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新增人群覆盖率段（&gt;90% / 97% / 85% / +26–49%）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不回填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抄的是 CRF v18 已被自己下调的数；且 ZCH 不在 Methods 队列名单里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6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CD86 补 23.8–33.2% vs 2.64%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回填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v3/v4 面板上本来就有这组数，图文一致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7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in vivo 段重写生存句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回填（同 1 的条件）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与摘要同源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F9C3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8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F9C3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Figure 2 图注去掉 GSVA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F9C3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部分回填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F9C3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去 GSVA 对，但同段的 MSigDB Hallmark、FDR &lt; 0.25 必须一起改成与新面板一致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9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Figure 4 图注 2 处星号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回填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纯规范</w:t>
            </w:r>
          </w:p>
        </w:tc>
      </w:tr>
    </w:tbl>
    <w:p/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2"/>
        </w:rPr>
        <w:t>净结果：9 条里回填 5 条、部分回填 1 条、暂缓 2 条、不回填 1 条。实际在 Word 里的操作量约半小时。</w:t>
      </w:r>
    </w:p>
    <w:p>
      <w:pPr>
        <w:pStyle w:val="Heading2"/>
      </w:pPr>
      <w:r>
        <w:t>建档规则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2"/>
        </w:rPr>
        <w:t>V17_base.docx —— 原件另存，什么都不改，做锚点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2"/>
        </w:rPr>
        <w:t>V17.docx —— 回填 5.5 处，打开「修订」，此后所有改动留痕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2"/>
        </w:rPr>
        <w:t>V17_supp.xlsx —— 附表重排后的新版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2"/>
        </w:rPr>
        <w:t>V17_figures.pptx —— 主图定稿后的新版</w:t>
      </w:r>
    </w:p>
    <w:p>
      <w:pPr>
        <w:spacing w:after="160"/>
      </w:pPr>
      <w:r>
        <w:rPr>
          <w:rFonts w:ascii="Microsoft YaHei" w:hAnsi="Microsoft YaHei" w:eastAsia="Microsoft YaHei" w:cs="Microsoft YaHei"/>
          <w:b/>
          <w:i w:val="0"/>
          <w:color w:val="9B1C1C"/>
          <w:sz w:val="22"/>
        </w:rPr>
        <w:t>一条硬规矩：从现在起不要再用脚本直接写 Word。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2"/>
        </w:rPr>
        <w:t>本轮的全部格式损伤、引文断裂、批注失锚，都来自「python-docx 重写段落」这一个动作。文字改动一律在 Word 里做，脚本只用来检查不用来写。</w:t>
      </w:r>
    </w:p>
    <w:p>
      <w:pPr>
        <w:pStyle w:val="Heading1"/>
      </w:pPr>
      <w:r>
        <w:t>第二部分　模拟审稿意见（Reviewer #1）</w:t>
      </w:r>
    </w:p>
    <w:p>
      <w:pPr>
        <w:pStyle w:val="Heading2"/>
      </w:pPr>
      <w:r>
        <w:t>Recommendation：Reject（或 Major Revision，附数据完整性质询）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2"/>
        </w:rPr>
        <w:t>这份稿子的科学构想是好的：用长读长测序建库、免疫肽组验证、再做 mRNA-LNP 疫苗，从非经典 ORF 里找 PDAC 现货型新抗原，这条链是完整的，工作量也很大。Methods 有 20 个小节，伦理有真实批号，138 条文献编号干净——作者显然认真做了很多事。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2"/>
        </w:rPr>
        <w:t>但我不能推荐接收，理由不是「证据不够强」，而是稿件内部互相矛盾，且矛盾出现在最核心的三个数字上。以下 M1–M3 是我认为不修改就无法评估的；M4–M9 是必须解决的重大问题；M10–M11 涉及引用与披露。</w:t>
      </w:r>
    </w:p>
    <w:p>
      <w:pPr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9B1C1C"/>
          <w:sz w:val="24"/>
        </w:rPr>
        <w:t xml:space="preserve">M1　</w:t>
      </w:r>
      <w:r>
        <w:rPr>
          <w:rFonts w:ascii="Microsoft YaHei" w:hAnsi="Microsoft YaHei" w:eastAsia="Microsoft YaHei" w:cs="Microsoft YaHei"/>
          <w:b/>
          <w:i w:val="0"/>
          <w:color w:val="1A365D"/>
          <w:sz w:val="24"/>
        </w:rPr>
        <w:t>ELISpot 的「三个供体」在补充材料里无法证实，且不同表给出两个互相冲突的阳性数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全文最关键的一次从计算转向生物学的验证，是 16 of 64 (25.0%) elicited robust responses (&gt;200 SFU/10⁶ cells) across three HLA-A*24:02 donors。我核对了补充材料，发现三个问题：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「供体」列与「实验次数」列是同一组数。Table_S5_Multi_Donor 的 Donor1/2/3，与 Table_S5_Replicates 的「第三次/第四次/第五次-SFU」逐行数值完全相同（LYTFIKHEF：84 / 2427 / 605；EYDSSFPNW：1882 / 59 / 177；KYISGPHEL：1593 / 118 / 160）。这两张表就并排在同一个 workbook 里。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换一个均值口径，阳性数从 16 变成 7。Multi_Donor 用 3 列均值 ≥ 200 得 16 条；Replicates 的 Mean_SFU 用全部 6 列，只有 7 条 ≥ 200。SYIKSSSSL 是 299 与 182.5，YFINRSWEW 是 281.7 与 157，LYKPKQEVKF 是 263 与 140.5——同一条肽，两个答案。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阳性对照没有数据。Table_S5_Multi_Donor 最后一行「抗CD3-2单抗阳性对照组」只有标签，没有任何数值。ELISpot 若无有效阳性对照，整块数据的有效性无法自证。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此外，Replicates 的 CV_Percent 列显示 24 条肽里有 12 条变异系数超过 100%；被列为最强响应的 LYTFIKHEF 的 CV 是 114%，且它在 Donor1 上只有 84 SFU——远低于作者自设的 200 阈值。用 robust 形容这样的数据是不恰当的。</w:t>
      </w:r>
    </w:p>
    <w:p>
      <w:pPr>
        <w:spacing w:after="200"/>
        <w:ind w:left="170"/>
      </w:pPr>
      <w:r>
        <w:rPr>
          <w:rFonts w:ascii="Microsoft YaHei" w:hAnsi="Microsoft YaHei" w:eastAsia="Microsoft YaHei" w:cs="Microsoft YaHei"/>
          <w:b/>
          <w:i w:val="0"/>
          <w:color w:val="9B1C1C"/>
          <w:sz w:val="21"/>
        </w:rPr>
        <w:t>要求作者：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提供 (i) 三名供体的编号、HLA 分型报告与采样日期；(ii) 原始 ELISpot 板图或读板机导出文件；(iii) 明确定义什么叫 responder——是三供体均值过线，还是至少 2/3 供体各自过线；(iv) 阳性对照数据；(v) 用统一口径重出附表，并相应更新正文与摘要的 16 / 25.0%。若「三个供体」实为同一批细胞的三次实验，必须在全文改正表述，摘要头条数字需重算。</w:t>
      </w:r>
    </w:p>
    <w:p>
      <w:pPr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9B1C1C"/>
          <w:sz w:val="24"/>
        </w:rPr>
        <w:t xml:space="preserve">M2　</w:t>
      </w:r>
      <w:r>
        <w:rPr>
          <w:rFonts w:ascii="Microsoft YaHei" w:hAnsi="Microsoft YaHei" w:eastAsia="Microsoft YaHei" w:cs="Microsoft YaHei"/>
          <w:b/>
          <w:i w:val="0"/>
          <w:color w:val="1A365D"/>
          <w:sz w:val="24"/>
        </w:rPr>
        <w:t>亚组的置信区间比总体窄 6.6 倍，这在数学上不可能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摘要与 Results 都报告：全部 MHC-I 呈递蛋白 OR = 3.12, 95% CI: 2.12–4.44；限定为高亲和力 HLA-A*24:02 结合肽的亚组 OR = 3.47, 95% CI: 3.28–3.67。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换算到对数尺度，总体的区间宽度是 ln(4.44) − ln(2.12) = 0.739，亚组是 ln(3.67) − ln(3.28) = 0.112。亚组区间比总体窄 6.6 倍，对应标准误小 6.6 倍，意味着亚组的有效信息量约为总体的 40 余倍。而这个亚组是总体的子集，样本量只会更小。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这不是四舍五入或笔误可以解释的量级。要么区间算错了，要么两个 OR 来自不同的分析而被并列呈现。无论哪种，摘要里这组数现在都不可信，而它恰恰是「新亚型来源肽被优先呈递」这一核心论点的统计支撑。</w:t>
      </w:r>
    </w:p>
    <w:p>
      <w:pPr>
        <w:spacing w:after="200"/>
        <w:ind w:left="170"/>
      </w:pPr>
      <w:r>
        <w:rPr>
          <w:rFonts w:ascii="Microsoft YaHei" w:hAnsi="Microsoft YaHei" w:eastAsia="Microsoft YaHei" w:cs="Microsoft YaHei"/>
          <w:b/>
          <w:i w:val="0"/>
          <w:color w:val="9B1C1C"/>
          <w:sz w:val="21"/>
        </w:rPr>
        <w:t>要求作者：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给出两次 Fisher 精确检验的完整 2×2 列联表（四格具体计数）、置信区间的计算方法与所用软件版本；重算亚组区间。若亚组样本量不足以支撑区间估计，请删去亚组 CI，只报点估计并说明 n。</w:t>
      </w:r>
    </w:p>
    <w:p>
      <w:pPr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9B1C1C"/>
          <w:sz w:val="24"/>
        </w:rPr>
        <w:t xml:space="preserve">M3　</w:t>
      </w:r>
      <w:r>
        <w:rPr>
          <w:rFonts w:ascii="Microsoft YaHei" w:hAnsi="Microsoft YaHei" w:eastAsia="Microsoft YaHei" w:cs="Microsoft YaHei"/>
          <w:b/>
          <w:i w:val="0"/>
          <w:color w:val="1A365D"/>
          <w:sz w:val="24"/>
        </w:rPr>
        <w:t>正文、图、图注、附表之间存在多处可当场核对的矛盾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这一条列得比较细，因为它们都能在几分钟内被任何审稿人查到，累积起来会严重损害稿件的可信度。</w:t>
      </w:r>
    </w:p>
    <w:p>
      <w:pPr>
        <w:spacing w:after="200"/>
        <w:ind w:left="170"/>
      </w:pPr>
      <w:r>
        <w:rPr>
          <w:rFonts w:ascii="Microsoft YaHei" w:hAnsi="Microsoft YaHei" w:eastAsia="Microsoft YaHei" w:cs="Microsoft YaHei"/>
          <w:b/>
          <w:i w:val="0"/>
          <w:color w:val="9B1C1C"/>
          <w:sz w:val="21"/>
        </w:rPr>
        <w:t>要求作者：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逐条核对正文、图、图注、附表并统一。特别是究竟有多少个显著事件、图上没有的通路不得在正文点名、附表编号与内容对齐并补出 sq1–sq4 组成表、说明 64 条候选究竟按什么标准从 147 条中选出。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正文 / Methods 说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图 / 表 / 图注说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a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Figure 2b：identified 48 significantly dysregulated events (|ΔPSI| ≥ 0.2, P &lt; 0.01)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Figure 2b 面板：Up (195) / Down (184)，合计 379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b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Figure 2b 阈值写 P &lt; 0.01（Mann–Whitney U）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Figure 2b 纵轴是 -log10FDR。P 与 FDR 混用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c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Figure 2d 图注：against MSigDB Hallmark gene sets. Only pathways with FDR &lt; 0.25 are shown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面板画的是 Gene Ratio(%) / Count / FDR 0–0.05 的点图，10 条通路名均非 MSigDB 标准名，无法复核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d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Figure 2d 正文点名 MYC targets, apoptosis, angiogenesis, KRAS signaling, fatty acid metabolism, EMT, IL6-JAK-STAT3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面板上只有 MYC、apoptosis、EMT 三项对得上；angiogenesis、KRAS、fatty acid metabolism、IL6-JAK-STAT3 在图上不存在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e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Methods：MaxQuant (v2.5.2)；1 × 108 pancreatic cancer cells（缺上标）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Figure 4 图注：MaxQuant (v2.1)；5 × 10^7 cells per line（脱字符写法）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f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正文 Table S5 = sq1–sq4 构建体设计；Table S6 = 64 条肽 ELISpot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附表文件里 Table_S5_* 是 ELISpot、Table_S6_Integrated_Scores 是打分表，正好互换；且没有任何一张表给出 sq1–sq4 的肽段组成，故 sq4 = 20 无法核对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g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正文 147 top-ranked …（IC50 &lt; 500 nM; DeepImmuno score &gt; 0.45）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Table_S6 里大量行不满足：ALSDLLITF IC50 = 556.91、YYGSSTNL = 1399.9、VYAAGYGL = 2763.86；响应最强的 LYTFIKHEF DeepImmuno = 0.292，Figure 4e/4f 展示表位 QYGGDLTNTF = 0.166。另有 3 对完全重复行</w:t>
            </w:r>
          </w:p>
        </w:tc>
      </w:tr>
    </w:tbl>
    <w:p/>
    <w:p>
      <w:pPr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9B1C1C"/>
          <w:sz w:val="24"/>
        </w:rPr>
        <w:t xml:space="preserve">M4　</w:t>
      </w:r>
      <w:r>
        <w:rPr>
          <w:rFonts w:ascii="Microsoft YaHei" w:hAnsi="Microsoft YaHei" w:eastAsia="Microsoft YaHei" w:cs="Microsoft YaHei"/>
          <w:b/>
          <w:i w:val="0"/>
          <w:color w:val="1A365D"/>
          <w:sz w:val="24"/>
        </w:rPr>
        <w:t>全局 1% FDR 会系统性高估非经典肽的比例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Methods 写 MaxQuant search against the LRDB at 1% FDR，LRDB 同时包含经典与非经典 ORF。在合并库上使用单一全局 FDR，是已知会高估非经典鉴定的做法：丰度高、易鉴定的经典肽会「借走」诱饵预算，使非经典部分的实际错误率远高于名义 1%。这一点在非经典免疫肽组领域已有共识，通常要求分类特异（class-specific）FDR 或两步策略。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本文最核心的定量结论 8,437 of 45,892 (18.4%) derived from novel isoforms 完全建立在这一步之上。若改用分类特异 FDR，这个 18.4% 很可能显著下降，而后续的富集分析与候选筛选都会跟着变。</w:t>
      </w:r>
    </w:p>
    <w:p>
      <w:pPr>
        <w:spacing w:after="200"/>
        <w:ind w:left="170"/>
      </w:pPr>
      <w:r>
        <w:rPr>
          <w:rFonts w:ascii="Microsoft YaHei" w:hAnsi="Microsoft YaHei" w:eastAsia="Microsoft YaHei" w:cs="Microsoft YaHei"/>
          <w:b/>
          <w:i w:val="0"/>
          <w:color w:val="9B1C1C"/>
          <w:sz w:val="21"/>
        </w:rPr>
        <w:t>要求作者：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用分类特异 FDR 或等效的两步法重做搜索，报告非经典类别自身的 FDR 与诱饵命中构成；若 18.4% 因此变化，全文（含摘要）相应更新。若坚持全局 FDR，需给出正面证据说明为何在本数据集中不产生上述偏倚。</w:t>
      </w:r>
    </w:p>
    <w:p>
      <w:pPr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9B1C1C"/>
          <w:sz w:val="24"/>
        </w:rPr>
        <w:t xml:space="preserve">M5　</w:t>
      </w:r>
      <w:r>
        <w:rPr>
          <w:rFonts w:ascii="Microsoft YaHei" w:hAnsi="Microsoft YaHei" w:eastAsia="Microsoft YaHei" w:cs="Microsoft YaHei"/>
          <w:b/>
          <w:i w:val="0"/>
          <w:color w:val="1A365D"/>
          <w:sz w:val="24"/>
        </w:rPr>
        <w:t>CD8 基线过低与「&gt;90% 效应记忆」自相矛盾，扩增倍数因此悬空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报告的脾细胞 CD8+ 基线为 3.6–3.9%。正常小鼠脾脏的 CD8+ T 细胞比例通常远高于此。基线被压低会机械性地放大后续的「扩增倍数」，而这个倍数是疫苗免疫原性的主要证据。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同时，作者报告扩增后的细胞 &gt;90% 为效应记忆表型（CD62L−）。效应记忆细胞寿命短、不支持长期保护，这与稿件在 Discussion 里关于持久性与现货型疫苗价值的论述方向相反。作者没有讨论这一矛盾。</w:t>
      </w:r>
    </w:p>
    <w:p>
      <w:pPr>
        <w:spacing w:after="200"/>
        <w:ind w:left="170"/>
      </w:pPr>
      <w:r>
        <w:rPr>
          <w:rFonts w:ascii="Microsoft YaHei" w:hAnsi="Microsoft YaHei" w:eastAsia="Microsoft YaHei" w:cs="Microsoft YaHei"/>
          <w:b/>
          <w:i w:val="0"/>
          <w:color w:val="9B1C1C"/>
          <w:sz w:val="21"/>
        </w:rPr>
        <w:t>要求作者：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提供完整门控策略图（含 FMO 或同型对照）、每组的绝对细胞数而非仅百分比、以及基线组的代表性流式图；解释 3.6–3.9% 的来源。若门控有误，重新分析并更新扩增倍数。同时讨论 &gt;90% Tem 表型对持久性论述的影响。</w:t>
      </w:r>
    </w:p>
    <w:p>
      <w:pPr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9B1C1C"/>
          <w:sz w:val="24"/>
        </w:rPr>
        <w:t xml:space="preserve">M6　</w:t>
      </w:r>
      <w:r>
        <w:rPr>
          <w:rFonts w:ascii="Microsoft YaHei" w:hAnsi="Microsoft YaHei" w:eastAsia="Microsoft YaHei" w:cs="Microsoft YaHei"/>
          <w:b/>
          <w:i w:val="0"/>
          <w:color w:val="1A365D"/>
          <w:sz w:val="24"/>
        </w:rPr>
        <w:t>Methods 设了空载 LNP 组，Results 却只与 PBS 比较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Methods 明确描述了空载 LNP 对照，但 Results 与所有图中的疗效比较（肿瘤体积、瘤重、生存、CD8 浸润）都只有 vaccine vs PBS。含可电离脂质的 LNP 本身具有佐剂活性，可独立产生抗肿瘤效应。缺少这一臂，无法把「抗原特异性」与「递送载体的非特异佐剂效应」区分开——而全文论点恰恰是前者。</w:t>
      </w:r>
    </w:p>
    <w:p>
      <w:pPr>
        <w:spacing w:after="200"/>
        <w:ind w:left="170"/>
      </w:pPr>
      <w:r>
        <w:rPr>
          <w:rFonts w:ascii="Microsoft YaHei" w:hAnsi="Microsoft YaHei" w:eastAsia="Microsoft YaHei" w:cs="Microsoft YaHei"/>
          <w:b/>
          <w:i w:val="0"/>
          <w:color w:val="9B1C1C"/>
          <w:sz w:val="21"/>
        </w:rPr>
        <w:t>要求作者：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补报空载 LNP 组的肿瘤体积曲线、瘤重、生存曲线与 CD8 浸润，纳入主图；若该组实际未做，请在 Methods 中删除相关描述，并在 Discussion 中明确将「未区分抗原特异性与佐剂效应」列为局限。</w:t>
      </w:r>
    </w:p>
    <w:p>
      <w:pPr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9B1C1C"/>
          <w:sz w:val="24"/>
        </w:rPr>
        <w:t xml:space="preserve">M7　</w:t>
      </w:r>
      <w:r>
        <w:rPr>
          <w:rFonts w:ascii="Microsoft YaHei" w:hAnsi="Microsoft YaHei" w:eastAsia="Microsoft YaHei" w:cs="Microsoft YaHei"/>
          <w:b/>
          <w:i w:val="0"/>
          <w:color w:val="1A365D"/>
          <w:sz w:val="24"/>
        </w:rPr>
        <w:t>生存分析缺少可评估统计结论所需的最基本信息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摘要与 Results 报告 52 days versus 21 days (HR = 0.35, P = 0.003), a 2.5-fold extension。但通篇未见：每组动物数 n、是否有删失、HR 由何种模型估计、是否检验过比例风险假设、P 值来自 log-rank 还是模型。NOD/SCID 荷瘤模型的过继转移实验，组间基线瘤负荷是否平衡也未说明。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另外，摘要用 massive tumor-infiltrating CD8+ T-cell expansion 描述结果。massive 不是一个可评估的量。</w:t>
      </w:r>
    </w:p>
    <w:p>
      <w:pPr>
        <w:spacing w:after="200"/>
        <w:ind w:left="170"/>
      </w:pPr>
      <w:r>
        <w:rPr>
          <w:rFonts w:ascii="Microsoft YaHei" w:hAnsi="Microsoft YaHei" w:eastAsia="Microsoft YaHei" w:cs="Microsoft YaHei"/>
          <w:b/>
          <w:i w:val="0"/>
          <w:color w:val="9B1C1C"/>
          <w:sz w:val="21"/>
        </w:rPr>
        <w:t>要求作者：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在图注中给出每组 n、删失情况、检验方法与 HR 的 95% CI，并提供 PH 假设检验结果；把 massive 改为具体数值或中性表述。</w:t>
      </w:r>
    </w:p>
    <w:p>
      <w:pPr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9B1C1C"/>
          <w:sz w:val="24"/>
        </w:rPr>
        <w:t xml:space="preserve">M8　</w:t>
      </w:r>
      <w:r>
        <w:rPr>
          <w:rFonts w:ascii="Microsoft YaHei" w:hAnsi="Microsoft YaHei" w:eastAsia="Microsoft YaHei" w:cs="Microsoft YaHei"/>
          <w:b/>
          <w:i w:val="0"/>
          <w:color w:val="1A365D"/>
          <w:sz w:val="24"/>
        </w:rPr>
        <w:t>Results 出现了 Methods 中不存在的队列（ZCH）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Results 有一段报告 the Chinese (ZCH) and European (AMC) cohorts, patient coverage reached &gt;90% at TPM &gt; 10, and up to 97% and 85% … gains (+26% to +49%)。但 Methods 列出的验证队列是 Network、Purist、TEP2022、AMC、CCLE、Changhai（n = 62），没有 ZCH。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一个在结果中承担关键结论、却未在方法中定义的队列，是可重复性上的基本缺陷。此外，这一段是全文支撑「现货型疫苗」可行性的唯一人群层面证据，其数字未给出任何计算细节。</w:t>
      </w:r>
    </w:p>
    <w:p>
      <w:pPr>
        <w:spacing w:after="200"/>
        <w:ind w:left="170"/>
      </w:pPr>
      <w:r>
        <w:rPr>
          <w:rFonts w:ascii="Microsoft YaHei" w:hAnsi="Microsoft YaHei" w:eastAsia="Microsoft YaHei" w:cs="Microsoft YaHei"/>
          <w:b/>
          <w:i w:val="0"/>
          <w:color w:val="9B1C1C"/>
          <w:sz w:val="21"/>
        </w:rPr>
        <w:t>要求作者：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在 Methods 中定义 ZCH 队列（来源、n、测序平台、伦理批号、可及性），或删除该段；给出覆盖率的计算方法与阈值定义；若要论证现货型可行性，还需报告 HLA 携带率与转录本覆盖率的联合可及性，而非两者分别的最大值。</w:t>
      </w:r>
    </w:p>
    <w:p>
      <w:pPr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9B1C1C"/>
          <w:sz w:val="24"/>
        </w:rPr>
        <w:t xml:space="preserve">M9　</w:t>
      </w:r>
      <w:r>
        <w:rPr>
          <w:rFonts w:ascii="Microsoft YaHei" w:hAnsi="Microsoft YaHei" w:eastAsia="Microsoft YaHei" w:cs="Microsoft YaHei"/>
          <w:b/>
          <w:i w:val="0"/>
          <w:color w:val="1A365D"/>
          <w:sz w:val="24"/>
        </w:rPr>
        <w:t>利益冲突声明与已知事实不符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稿件声明 The authors declare no competing interests。但据公开信息，本工作相关的技术存在专利申请（63/869,610），并有相应的商业实体。若属实，这属于必须披露的竞争性利益，不因未获授权或未产生收入而豁免。</w:t>
      </w:r>
    </w:p>
    <w:p>
      <w:pPr>
        <w:spacing w:after="200"/>
        <w:ind w:left="170"/>
      </w:pPr>
      <w:r>
        <w:rPr>
          <w:rFonts w:ascii="Microsoft YaHei" w:hAnsi="Microsoft YaHei" w:eastAsia="Microsoft YaHei" w:cs="Microsoft YaHei"/>
          <w:b/>
          <w:i w:val="0"/>
          <w:color w:val="9B1C1C"/>
          <w:sz w:val="21"/>
        </w:rPr>
        <w:t>要求作者：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如实披露专利申请号、申请人、发明人，以及任何作者在相关实体中的职务或股权；同时更新 Funding 与 Author Contributions 中相应的说明。</w:t>
      </w:r>
    </w:p>
    <w:p>
      <w:pPr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9B1C1C"/>
          <w:sz w:val="24"/>
        </w:rPr>
        <w:t xml:space="preserve">M10　</w:t>
      </w:r>
      <w:r>
        <w:rPr>
          <w:rFonts w:ascii="Microsoft YaHei" w:hAnsi="Microsoft YaHei" w:eastAsia="Microsoft YaHei" w:cs="Microsoft YaHei"/>
          <w:b/>
          <w:i w:val="0"/>
          <w:color w:val="1A365D"/>
          <w:sz w:val="24"/>
        </w:rPr>
        <w:t>三处文献支撑与原文献结论不符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over 30% of splicing events to become tumor-specific——所引来源报告的是肿瘤相比正常组织多出至多 30% 的 AS 事件，不是 30% 的事件变为肿瘤特异。这是两个完全不同的量。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&gt; 59-fold higher than mutational counterparts——该倍数来自肝细胞癌的研究，直接移用于 PDAC 缺乏依据。全文出现 3 次。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2.5- to 3.6-fold（分母约 7%）标注为 Rojas 2023——该研究在患者层面报告的应答比例约为 50%。以 7% 作分母会显著放大本文的相对优势。</w:t>
      </w:r>
    </w:p>
    <w:p>
      <w:pPr>
        <w:spacing w:after="200"/>
        <w:ind w:left="170"/>
      </w:pPr>
      <w:r>
        <w:rPr>
          <w:rFonts w:ascii="Microsoft YaHei" w:hAnsi="Microsoft YaHei" w:eastAsia="Microsoft YaHei" w:cs="Microsoft YaHei"/>
          <w:b/>
          <w:i w:val="0"/>
          <w:color w:val="9B1C1C"/>
          <w:sz w:val="21"/>
        </w:rPr>
        <w:t>要求作者：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逐条核对原文献并改正，或改用能直接支撑该表述的来源。</w:t>
      </w:r>
    </w:p>
    <w:p>
      <w:pPr>
        <w:spacing w:before="240" w:after="80"/>
      </w:pPr>
      <w:r>
        <w:rPr>
          <w:rFonts w:ascii="Microsoft YaHei" w:hAnsi="Microsoft YaHei" w:eastAsia="Microsoft YaHei" w:cs="Microsoft YaHei"/>
          <w:b/>
          <w:i w:val="0"/>
          <w:color w:val="9B1C1C"/>
          <w:sz w:val="24"/>
        </w:rPr>
        <w:t xml:space="preserve">M11　</w:t>
      </w:r>
      <w:r>
        <w:rPr>
          <w:rFonts w:ascii="Microsoft YaHei" w:hAnsi="Microsoft YaHei" w:eastAsia="Microsoft YaHei" w:cs="Microsoft YaHei"/>
          <w:b/>
          <w:i w:val="0"/>
          <w:color w:val="1A365D"/>
          <w:sz w:val="24"/>
        </w:rPr>
        <w:t>数据与代码可及性为占位符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PXD accession to be provided upon acceptance、Zenodo (; DOI to be activated upon acceptance)（括号内为空）、doi:10.5281/zenodo.XXXXXXX、[GitHub URL to be provided upon acceptance]。多数期刊要求在送审阶段即提供可供审稿人访问的数据，而非接收后再补。致谢中另有 [Collaborators]、[Core Facility]、[Blood Bank] 三处未填。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伦理声明中，长海队列写 the corresponding approval number is available upon request。伦理批号属于应当直接列出的信息。</w:t>
      </w:r>
    </w:p>
    <w:p>
      <w:pPr>
        <w:spacing w:after="200"/>
        <w:ind w:left="170"/>
      </w:pPr>
      <w:r>
        <w:rPr>
          <w:rFonts w:ascii="Microsoft YaHei" w:hAnsi="Microsoft YaHei" w:eastAsia="Microsoft YaHei" w:cs="Microsoft YaHei"/>
          <w:b/>
          <w:i w:val="0"/>
          <w:color w:val="9B1C1C"/>
          <w:sz w:val="21"/>
        </w:rPr>
        <w:t>要求作者：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在返修稿中提供 PRIDE 与 Zenodo 的审稿人访问链接、GitHub 仓库地址、长海队列伦理批号，并填写致谢。</w:t>
      </w:r>
    </w:p>
    <w:p>
      <w:pPr>
        <w:pStyle w:val="Heading2"/>
      </w:pPr>
      <w:r>
        <w:t>Minor points</w:t>
      </w:r>
    </w:p>
    <w:p>
      <w:pPr>
        <w:spacing w:after="80"/>
        <w:ind w:left="227"/>
      </w:pPr>
      <w:r>
        <w:rPr>
          <w:rFonts w:ascii="Microsoft YaHei" w:hAnsi="Microsoft YaHei" w:eastAsia="Microsoft YaHei" w:cs="Microsoft YaHei"/>
          <w:b/>
          <w:i w:val="0"/>
          <w:color w:val="1A365D"/>
          <w:sz w:val="21"/>
        </w:rPr>
        <w:t xml:space="preserve">1. 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摘要 IFN- ELISpot 缺 γ。</w:t>
      </w:r>
    </w:p>
    <w:p>
      <w:pPr>
        <w:spacing w:after="80"/>
        <w:ind w:left="227"/>
      </w:pPr>
      <w:r>
        <w:rPr>
          <w:rFonts w:ascii="Microsoft YaHei" w:hAnsi="Microsoft YaHei" w:eastAsia="Microsoft YaHei" w:cs="Microsoft YaHei"/>
          <w:b/>
          <w:i w:val="0"/>
          <w:color w:val="1A365D"/>
          <w:sz w:val="21"/>
        </w:rPr>
        <w:t xml:space="preserve">2. 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systematically discover and experimental validate —— 应为 experimentally validate。</w:t>
      </w:r>
    </w:p>
    <w:p>
      <w:pPr>
        <w:spacing w:after="80"/>
        <w:ind w:left="227"/>
      </w:pPr>
      <w:r>
        <w:rPr>
          <w:rFonts w:ascii="Microsoft YaHei" w:hAnsi="Microsoft YaHei" w:eastAsia="Microsoft YaHei" w:cs="Microsoft YaHei"/>
          <w:b/>
          <w:i w:val="0"/>
          <w:color w:val="1A365D"/>
          <w:sz w:val="21"/>
        </w:rPr>
        <w:t xml:space="preserve">3. 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the mRNA-LNP infrastructure boasts unparalleled safety —— 宣传性措辞，建议改为中性表述并给出可比数据。</w:t>
      </w:r>
    </w:p>
    <w:p>
      <w:pPr>
        <w:spacing w:after="80"/>
        <w:ind w:left="227"/>
      </w:pPr>
      <w:r>
        <w:rPr>
          <w:rFonts w:ascii="Microsoft YaHei" w:hAnsi="Microsoft YaHei" w:eastAsia="Microsoft YaHei" w:cs="Microsoft YaHei"/>
          <w:b/>
          <w:i w:val="0"/>
          <w:color w:val="1A365D"/>
          <w:sz w:val="21"/>
        </w:rPr>
        <w:t xml:space="preserve">4. 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IC50 应作 IC₅₀；(GGGGS)3 应作 (GGGGS)₃；统计量 R、P、样本量 n 应为斜体并全文统一。</w:t>
      </w:r>
    </w:p>
    <w:p>
      <w:pPr>
        <w:spacing w:after="80"/>
        <w:ind w:left="227"/>
      </w:pPr>
      <w:r>
        <w:rPr>
          <w:rFonts w:ascii="Microsoft YaHei" w:hAnsi="Microsoft YaHei" w:eastAsia="Microsoft YaHei" w:cs="Microsoft YaHei"/>
          <w:b/>
          <w:i w:val="0"/>
          <w:color w:val="1A365D"/>
          <w:sz w:val="21"/>
        </w:rPr>
        <w:t xml:space="preserve">5. 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Discussion 中 (1)(2)(3)(4) 被用作枚举号，与数字括号引文格式冲突（例如 …enable broader reactivity (100); and (4) tumor-specific splicing factors…，读者会把 (4) 误读为文献 4）。建议改用 (i)(ii)(iii)。</w:t>
      </w:r>
    </w:p>
    <w:p>
      <w:pPr>
        <w:spacing w:after="80"/>
        <w:ind w:left="227"/>
      </w:pPr>
      <w:r>
        <w:rPr>
          <w:rFonts w:ascii="Microsoft YaHei" w:hAnsi="Microsoft YaHei" w:eastAsia="Microsoft YaHei" w:cs="Microsoft YaHei"/>
          <w:b/>
          <w:i w:val="0"/>
          <w:color w:val="1A365D"/>
          <w:sz w:val="21"/>
        </w:rPr>
        <w:t xml:space="preserve">6. 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补充表格使用中文表头（编号、肽段、第三次-SFU、复孔1-SFU、阴性对照组等），需全部英化。</w:t>
      </w:r>
    </w:p>
    <w:p>
      <w:pPr>
        <w:spacing w:after="80"/>
        <w:ind w:left="227"/>
      </w:pPr>
      <w:r>
        <w:rPr>
          <w:rFonts w:ascii="Microsoft YaHei" w:hAnsi="Microsoft YaHei" w:eastAsia="Microsoft YaHei" w:cs="Microsoft YaHei"/>
          <w:b/>
          <w:i w:val="0"/>
          <w:color w:val="1A365D"/>
          <w:sz w:val="21"/>
        </w:rPr>
        <w:t xml:space="preserve">7. 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Table S1–S4 为全库导出（30,511 / 15,001 / 23,435 / 20,660 行），建议提供精简版本，原始数据放仓库。</w:t>
      </w:r>
    </w:p>
    <w:p>
      <w:pPr>
        <w:spacing w:after="80"/>
        <w:ind w:left="227"/>
      </w:pPr>
      <w:r>
        <w:rPr>
          <w:rFonts w:ascii="Microsoft YaHei" w:hAnsi="Microsoft YaHei" w:eastAsia="Microsoft YaHei" w:cs="Microsoft YaHei"/>
          <w:b/>
          <w:i w:val="0"/>
          <w:color w:val="1A365D"/>
          <w:sz w:val="21"/>
        </w:rPr>
        <w:t xml:space="preserve">8. 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Figure 2b 纵轴标签写作 Delta PSI，应为 ΔPSI。</w:t>
      </w:r>
    </w:p>
    <w:p>
      <w:pPr>
        <w:spacing w:after="80"/>
        <w:ind w:left="227"/>
      </w:pPr>
      <w:r>
        <w:rPr>
          <w:rFonts w:ascii="Microsoft YaHei" w:hAnsi="Microsoft YaHei" w:eastAsia="Microsoft YaHei" w:cs="Microsoft YaHei"/>
          <w:b/>
          <w:i w:val="0"/>
          <w:color w:val="1A365D"/>
          <w:sz w:val="21"/>
        </w:rPr>
        <w:t xml:space="preserve">9. 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Figure 1e 与 Figure 2d 的图注均描述为 pathway enrichment of genes harboring novel isoforms，需区分二者。</w:t>
      </w:r>
    </w:p>
    <w:p>
      <w:pPr>
        <w:spacing w:after="80"/>
        <w:ind w:left="227"/>
      </w:pPr>
      <w:r>
        <w:rPr>
          <w:rFonts w:ascii="Microsoft YaHei" w:hAnsi="Microsoft YaHei" w:eastAsia="Microsoft YaHei" w:cs="Microsoft YaHei"/>
          <w:b/>
          <w:i w:val="0"/>
          <w:color w:val="1A365D"/>
          <w:sz w:val="21"/>
        </w:rPr>
        <w:t xml:space="preserve">10. 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正文存在一处双空格。</w:t>
      </w:r>
    </w:p>
    <w:p>
      <w:pPr>
        <w:spacing w:after="160"/>
      </w:pPr>
      <w:r>
        <w:rPr>
          <w:rFonts w:ascii="Microsoft YaHei" w:hAnsi="Microsoft YaHei" w:eastAsia="Microsoft YaHei" w:cs="Microsoft YaHei"/>
          <w:b/>
          <w:i w:val="0"/>
          <w:color w:val="9B1C1C"/>
          <w:sz w:val="22"/>
        </w:rPr>
        <w:t>给编辑的话：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2"/>
        </w:rPr>
        <w:t>这项工作的思路与工作量都值得发表。但 M1（补充材料自相矛盾且阳性对照缺失）与 M2（统计上不可能的置信区间）属于需要原始数据才能澄清的问题，不是文字修改能解决的。建议在作者提供原始 ELISpot 记录与列联表之前，暂不进入下一轮评审。</w:t>
      </w:r>
    </w:p>
    <w:p>
      <w:pPr>
        <w:pStyle w:val="Heading1"/>
      </w:pPr>
      <w:r>
        <w:t>第三部分　可执行修改方案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2"/>
        </w:rPr>
        <w:t>按「先保住可逆的、再做能当场核对的、最后回原始数据」排序。每一步给出验收标准，尽量做成可以用脚本自动检查的形式。</w:t>
      </w:r>
    </w:p>
    <w:p>
      <w:pPr>
        <w:pStyle w:val="Heading2"/>
      </w:pPr>
      <w:r>
        <w:t>Phase 0　当天完成：保住底稿（约 1 小时）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动作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0-1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立刻通知全组：不要在 Word 里点 Paperpile 的 Update。修改版里 83 号已成孤儿，刷新一次就会触发 84–138 共 55 条重编号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群内确认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0-2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原件另存两份：V17_base.docx（只读锚点，永不修改）、V17.docx（工作稿）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两文件存在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0-3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在 V17.docx 里打开「修订」，此后所有改动留痕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w:ins / w:del &gt; 0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0-4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回填 5 处安全改动：摘要生存数字、in vivo 生存句、CD86 数值、正文 8 处 HLA 星号、Figure 4 图注 2 处星号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脚本校验这 5 处文本存在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0-5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Figure 2 图注：删 GSVA，同时把 MSigDB Hallmark、FDR &lt; 0.25 一并挂起，等 Phase 1 定稿后统一改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标记为待定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0-6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用脚本核验底稿完好：引文域 76、文献 138 条零空号、首现严格递增、加粗标记 235、批注 65 条锚点齐全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六项全绿</w:t>
            </w:r>
          </w:p>
        </w:tc>
      </w:tr>
    </w:tbl>
    <w:p/>
    <w:p>
      <w:pPr>
        <w:spacing w:after="160"/>
      </w:pPr>
      <w:r>
        <w:rPr>
          <w:rFonts w:ascii="Microsoft YaHei" w:hAnsi="Microsoft YaHei" w:eastAsia="Microsoft YaHei" w:cs="Microsoft YaHei"/>
          <w:b/>
          <w:i w:val="0"/>
          <w:color w:val="166534"/>
          <w:sz w:val="22"/>
        </w:rPr>
        <w:t>效果：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2"/>
        </w:rPr>
        <w:t>做完 Phase 0，你手上是一份格式完整、引文健康、批注齐全、改动留痕的 V17，且不含 3 处有问题的改动。后面所有工作在它上面做。</w:t>
      </w:r>
    </w:p>
    <w:p>
      <w:pPr>
        <w:pStyle w:val="Heading2"/>
      </w:pPr>
      <w:r>
        <w:t>Phase 1　第 1–3 天：把能当场核对的矛盾清掉（对应 M3）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动作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决策分支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1-1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Figure 2b 的 48 与 195/184 定一个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若阈值是真实的 → 图改回 48 的口径；若 195/184 是真实结果 → 正文改数并同步阈值（不能一处 P 一处 FDR）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正文、图、图注三处数字与阈值完全一致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1-2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Figure 2d 定稿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方案 A：用回 v3 面板，正文沿用原件措辞，图注保留 Hallmark / FDR &lt; 0.25——成本最低且本来自洽。方案 B：保留 v4 点图，则通路名全部换回数据库标准名，图注改成 clusterProfiler + 具体库 + 具体阈值，正文只点图上真有的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正文点名的每条通路都能在面板上找到；通路名可在 MSigDB / KEGG 中检索到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1-3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PPT v4 的 Figure 2d 图注改掉 genes harboring novel isoforms（那是 Figure 1e 的题目），删去不再适用的 A3/A5/AF/AL/RI/SE 分面说明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—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Fig 1e 与 Fig 2d 图注不再重复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1-4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Delta PSI → ΔPSI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—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面板文本含 Δ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1-5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附表重排：ELISpot 回到 Table S6、整合评分回到 Table S5（或反过来改正文）；新增一张 sq1–sq4 构建体组成表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补表后 sq4 若确为 20 条 → 回填正文 12→20；若不是 20 → 按实际数字写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正文每处 Table Sx 引用都能找到内容对应的 sheet；sq4 的肽数可从表中数出来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1-6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统一 MaxQuant 版本；细胞用量统一写法与数值（说明是总量还是每系）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—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全文各出现一种写法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1-7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附表全面英化、删空行、去掉 Table_S6 里 3 对重复行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—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无中文表头、无空行对象、无重复肽</w:t>
            </w:r>
          </w:p>
        </w:tc>
      </w:tr>
    </w:tbl>
    <w:p/>
    <w:p>
      <w:pPr>
        <w:pStyle w:val="Heading2"/>
      </w:pPr>
      <w:r>
        <w:t>Phase 2　第 1–2 周：回原始数据（对应 M1、M2、M4、M5、M6、M7）</w:t>
      </w:r>
    </w:p>
    <w:p>
      <w:pPr>
        <w:spacing w:after="160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2"/>
        </w:rPr>
        <w:t>这一阶段无法靠改文字完成，需要实验与分析人员出面。每条都给了「核得实」与「核不实」两条路，核不实不等于要撤，而是降级到能站住的表述。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要核的事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核得实怎么写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核不实怎么写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2-1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ELISpot 供体身份：三名供体编号、HLA 分型、采样日期；以及「第三/四/五次实验」与「Donor1/2/3」为何数值相同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补齐供体信息与原始板图，明确 responder 定义，重出附表，正文与摘要沿用 16 / 25.0%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若实为同一批细胞的三次实验：全文把 three donors 改为 three independent assays，阳性数按统一口径重算（6 值均值口径为 7 条），摘要头条数字同步更新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2-2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抗 CD3 阳性对照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补入附表与图注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在 Methods 与 Discussion 中说明该批次阳性对照缺失，并列为局限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2-3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Fisher 两次检验的 2×2 列联表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给出四格计数与重算后的 CI；若亚组 CI 确实较宽，如实更新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删去亚组 CI，只报 OR 点估计与 n，并在图注说明未做区间估计的原因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2-4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分类特异 FDR 重搜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报告非经典类别自身 FDR；若 18.4% 变化，全文同步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若无法重搜，在 Methods 明写使用全局 FDR，并在 Discussion 承认可能高估非经典比例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2-5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CD8 基线 3.6–3.9% 的门控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提供门控图与绝对计数，保留扩增倍数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重新门控后更新基线与倍数；若倍数显著下降，把 massive 与倍数一起从摘要移除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2-6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空载 LNP 组数据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补入主图的体积 / 瘤重 / 生存 / CD8 浸润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Methods 删去该组描述，Discussion 明写未能分离佐剂效应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2-7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生存分析细节：每组 n、删失、模型、PH 假设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图注补齐，HR 加 95% CI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若模型假设不成立，改报中位生存与 log-rank P，去掉 HR</w:t>
            </w:r>
          </w:p>
        </w:tc>
      </w:tr>
      <w:tr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F9C3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2-8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F9C3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&gt;90% Tem 与持久性论述的矛盾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F9C3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若有记忆亚群数据，补充干细胞样/中央记忆比例</w:t>
            </w:r>
          </w:p>
        </w:tc>
        <w:tc>
          <w:tcPr>
            <w:tcW w:type="dxa" w:w="235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F9C3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在 Discussion 主动讨论：本模型主要产生效应记忆，持久性尚待验证</w:t>
            </w:r>
          </w:p>
        </w:tc>
      </w:tr>
    </w:tbl>
    <w:p/>
    <w:p>
      <w:pPr>
        <w:pStyle w:val="Heading2"/>
      </w:pPr>
      <w:r>
        <w:t>Phase 3　第 2–3 周：口径、引用与披露（对应 M8–M11）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动作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3-1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覆盖率段：整段删除，或改用本组最新口径并在 Methods 定义 ZCH（来源、n、平台、伦理批号）。若要论证现货型可行性，须给出 HLA 携带率 × 转录本覆盖率的联合可及性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Results 中不存在 Methods 未定义的队列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3-2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Competing Interests 如实披露专利 63/869,610 与相关实体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声明与事实一致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3-3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三处引用改正：&gt;30% 变为肿瘤特异（原文是「多出至多 30% 的事件」）、59-fold（来源为肝癌）、2.5–3.6 fold / 7% 分母（Rojas 患者层面约 50%）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每处表述与所引文献结论一致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3-4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申请 PRIDE PXD 号与 Zenodo DOI，建 GitHub 仓库，取审稿人私有链接；补长海队列伦理批号；填致谢三处方括号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FEDD5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全文无 XXXX、无 [...] 占位、无 upon request</w:t>
            </w:r>
          </w:p>
        </w:tc>
      </w:tr>
    </w:tbl>
    <w:p/>
    <w:p>
      <w:pPr>
        <w:pStyle w:val="Heading2"/>
      </w:pPr>
      <w:r>
        <w:t>Phase 4　投稿前：清稿（半天）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动作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1A365D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4-1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摘要 IFN- 补 γ；experimental validate → experimentally validate；boasts unparalleled 改中性；清双空格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脚本扫描无命中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4-2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IC₅₀、(GGGGS)₃ 下标；R / P / n 斜体全文统一；图表引用加粗全文统一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下标 ≥ 5、斜体 ≥ 60、加粗 ≥ 235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4-3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Discussion 里 7 处 (1)(2)(3)(4) 枚举改 (i)(ii)(iii)(iv)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正文 (n) 标记数 = Paperpile 域数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4-4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接受全部修订、删除全部批注，另存干净稿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comments.xml 不存在；w:ins / w:del = 0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4-5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在 Word 里刷新一次 Paperpile，核对书目条数与首现顺序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EE2E2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域数 = 正文 (n) 标记数；编号连续无空号；首现严格递增</w:t>
            </w:r>
          </w:p>
        </w:tc>
      </w:tr>
      <w:tr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4-6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更新 Cover Letter，主动说明本轮相对上一版做了什么（尤其是重算过的数字）</w:t>
            </w:r>
          </w:p>
        </w:tc>
        <w:tc>
          <w:tcPr>
            <w:tcW w:type="dxa" w:w="313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374151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投稿前一页纸自查（可脚本化）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Paperpile 域数 == 正文 (n) 标记数，无死文本引文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文献编号 1..N 连续，无空号、无重复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引文首次出现严格递增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comments.xml 不存在，w:ins / w:del == 0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全文无 XXXX / [占位] / upon request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正文每处 Figure Nx 都能在 PPT 找到对应面板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正文点名的每条通路都在图上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正文每处 Table Sx 都能在 xlsx 找到内容对应的 sheet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同一量在正文 / Methods / 图注中只有一种数值与一种写法（事件数、MaxQuant 版本、细胞用量、阈值 P 还是 FDR）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附表无中文表头、无空行对象、无重复行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摘要中的每个数字都能在正文找到出处，且不比正文更强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374151"/>
          <w:sz w:val="21"/>
        </w:rPr>
        <w:t>Competing interests 与专利 / 公司状况一致</w:t>
      </w:r>
    </w:p>
    <w:p>
      <w:pPr>
        <w:spacing w:after="160"/>
      </w:pPr>
      <w:r>
        <w:rPr>
          <w:rFonts w:ascii="Microsoft YaHei" w:hAnsi="Microsoft YaHei" w:eastAsia="Microsoft YaHei" w:cs="Microsoft YaHei"/>
          <w:b/>
          <w:i w:val="0"/>
          <w:color w:val="9B1C1C"/>
          <w:sz w:val="22"/>
        </w:rPr>
        <w:t>时间预期：</w:t>
      </w:r>
      <w:r>
        <w:rPr>
          <w:rFonts w:ascii="Microsoft YaHei" w:hAnsi="Microsoft YaHei" w:eastAsia="Microsoft YaHei" w:cs="Microsoft YaHei"/>
          <w:b w:val="0"/>
          <w:i w:val="0"/>
          <w:color w:val="374151"/>
          <w:sz w:val="22"/>
        </w:rPr>
        <w:t>Phase 0 当天、Phase 1 三天、Phase 3 与 Phase 4 各半周，这些都是可控的。真正决定投稿时点的是 Phase 2——ELISpot 原始记录、Fisher 列联表、流式门控、空载 LNP 这四项，取决于原始数据在不在、在谁手里。建议本周内先把这四项的有无问清楚，再定投稿日程。若四项中有两项以上拿不出原始记录，应当考虑把稿件降一档投，并主动在 Discussion 写清局限，而不是维持现有表述硬投。</w:t>
      </w:r>
    </w:p>
    <w:p>
      <w:r>
        <w:rPr>
          <w:rFonts w:ascii="Microsoft YaHei" w:hAnsi="Microsoft YaHei" w:eastAsia="Microsoft YaHei" w:cs="Microsoft YaHei"/>
          <w:b w:val="0"/>
          <w:i/>
          <w:color w:val="6B7280"/>
          <w:sz w:val="19"/>
        </w:rPr>
        <w:t>本文第二部分为模拟审稿意见，依据是对 2026-08-20_pdac_V16.docx、pdac_V16_修改版.docx、2026-08-20_PDAC_mainfigure_v3/v4.pptx、Supplementary_Tables_RealPDAC_revised.xlsx 及 2026-05-11 上一投稿包的逐段 / 逐幻灯片 / 逐单元格核对，所有引述的数值均可在上述文件中复核。置信区间的对数尺度换算见 M2。本文不修改任何手稿文件。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b w:val="0"/>
      <w:color w:val="3741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A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A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A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  <w:b w:val="0"/>
      <w:color w:val="374151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  <w:b w:val="0"/>
      <w:color w:val="374151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