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5669"/>
        <w:gridCol w:w="1361"/>
      </w:tblGrid>
      <w:tr>
        <w:tc>
          <w:tcPr>
            <w:tcW w:type="dxa" w:w="3513"/>
          </w:tcPr>
          <w:p>
            <w:r>
              <w:drawing>
                <wp:inline xmlns:a="http://schemas.openxmlformats.org/drawingml/2006/main" xmlns:pic="http://schemas.openxmlformats.org/drawingml/2006/picture">
                  <wp:extent cx="900000" cy="1310789"/>
                  <wp:docPr id="1" name="Picture 1"/>
                  <wp:cNvGraphicFramePr>
                    <a:graphicFrameLocks noChangeAspect="1"/>
                  </wp:cNvGraphicFramePr>
                  <a:graphic>
                    <a:graphicData uri="http://schemas.openxmlformats.org/drawingml/2006/picture">
                      <pic:pic>
                        <pic:nvPicPr>
                          <pic:cNvPr id="0" name="photo.png"/>
                          <pic:cNvPicPr/>
                        </pic:nvPicPr>
                        <pic:blipFill>
                          <a:blip r:embed="rId9"/>
                          <a:stretch>
                            <a:fillRect/>
                          </a:stretch>
                        </pic:blipFill>
                        <pic:spPr>
                          <a:xfrm>
                            <a:off x="0" y="0"/>
                            <a:ext cx="900000" cy="1310789"/>
                          </a:xfrm>
                          <a:prstGeom prst="rect"/>
                        </pic:spPr>
                      </pic:pic>
                    </a:graphicData>
                  </a:graphic>
                </wp:inline>
              </w:drawing>
            </w:r>
          </w:p>
        </w:tc>
        <w:tc>
          <w:tcPr>
            <w:tcW w:type="dxa" w:w="3513"/>
          </w:tcPr>
          <w:p>
            <w:r>
              <w:rPr>
                <w:b/>
                <w:color w:val="44557A"/>
                <w:sz w:val="36"/>
              </w:rPr>
              <w:t>万值翔</w:t>
            </w:r>
          </w:p>
          <w:p>
            <w:r>
              <w:rPr>
                <w:color w:val="555555"/>
                <w:sz w:val="19"/>
              </w:rPr>
              <w:t>经济学本科· 2027 届</w:t>
            </w:r>
          </w:p>
          <w:p>
            <w:r>
              <w:rPr>
                <w:color w:val="666666"/>
                <w:sz w:val="19"/>
              </w:rPr>
              <w:t>政治面貌：共青团员 | 籍贯：云南省红河州</w:t>
            </w:r>
          </w:p>
          <w:p>
            <w:r>
              <w:rPr>
                <w:color w:val="666666"/>
                <w:sz w:val="19"/>
              </w:rPr>
              <w:t>电话：13388736755</w:t>
            </w:r>
            <w:r>
              <w:t xml:space="preserve">   </w:t>
            </w:r>
            <w:r>
              <w:rPr>
                <w:color w:val="666666"/>
                <w:sz w:val="19"/>
              </w:rPr>
              <w:t>邮箱：13388736755@163.com</w:t>
            </w:r>
            <w:r>
              <w:t xml:space="preserve">   </w:t>
            </w:r>
            <w:r>
              <w:rPr>
                <w:color w:val="666666"/>
                <w:sz w:val="19"/>
              </w:rPr>
              <w:t>GitHub：</w:t>
            </w:r>
            <w:hyperlink r:id="rId11">
              <w:r>
                <w:rPr>
                  <w:color w:val="44557A"/>
                  <w:sz w:val="19"/>
                </w:rPr>
                <w:t>github.com/wzx11223344</w:t>
              </w:r>
            </w:hyperlink>
            <w:r>
              <w:t xml:space="preserve">   </w:t>
            </w:r>
            <w:r>
              <w:rPr>
                <w:color w:val="666666"/>
                <w:sz w:val="19"/>
              </w:rPr>
              <w:t>B站：</w:t>
            </w:r>
            <w:hyperlink r:id="rId12">
              <w:r>
                <w:rPr>
                  <w:color w:val="44557A"/>
                  <w:sz w:val="19"/>
                </w:rPr>
                <w:t>黎明之剑11</w:t>
              </w:r>
            </w:hyperlink>
            <w:r>
              <w:t xml:space="preserve">   </w:t>
            </w:r>
            <w:r>
              <w:rPr>
                <w:color w:val="666666"/>
                <w:sz w:val="19"/>
              </w:rPr>
              <w:t>作品集：</w:t>
            </w:r>
            <w:hyperlink r:id="rId13">
              <w:r>
                <w:rPr>
                  <w:color w:val="44557A"/>
                  <w:sz w:val="19"/>
                </w:rPr>
                <w:t>wzx11223344.github.io/portfolio-demo/positions/general.html</w:t>
              </w:r>
            </w:hyperlink>
          </w:p>
        </w:tc>
        <w:tc>
          <w:tcPr>
            <w:tcW w:type="dxa" w:w="3513"/>
          </w:tcPr>
          <w:p>
            <w:pPr>
              <w:jc w:val="center"/>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20000" cy="720000"/>
                          </a:xfrm>
                          <a:prstGeom prst="rect"/>
                        </pic:spPr>
                      </pic:pic>
                    </a:graphicData>
                  </a:graphic>
                </wp:inline>
              </w:drawing>
            </w:r>
          </w:p>
          <w:p>
            <w:pPr>
              <w:jc w:val="center"/>
            </w:pPr>
            <w:r>
              <w:rPr>
                <w:color w:val="888888"/>
                <w:sz w:val="15"/>
              </w:rPr>
              <w:t>扫码看作品集</w:t>
            </w:r>
          </w:p>
        </w:tc>
      </w:tr>
    </w:tbl>
    <w:p>
      <w:pPr>
        <w:spacing w:after="40"/>
        <w:jc w:val="left"/>
      </w:pPr>
      <w:r>
        <w:rPr>
          <w:color w:val="444444"/>
          <w:sz w:val="19"/>
        </w:rPr>
        <w:t>意向行业：综合类岗位（国企/金融/互联网/数据/人力） ｜ 目标岗位：经济分析/数据分析/综合管理/运营支持 ｜ 意向城市：上海/ 云南 ｜ 薪资：面议 ｜ 教育：华东师范大学·经济学本科（前30%）</w:t>
      </w:r>
    </w:p>
    <w:p>
      <w:pPr>
        <w:spacing w:before="60" w:after="20"/>
        <w:pBdr>
          <w:bottom w:val="single" w:sz="6" w:space="2" w:color="44557a"/>
        </w:pBdr>
      </w:pPr>
      <w:r>
        <w:rPr>
          <w:b/>
          <w:color w:val="44557A"/>
          <w:sz w:val="23"/>
        </w:rPr>
        <w:t>实习经历</w:t>
      </w:r>
    </w:p>
    <w:p>
      <w:pPr>
        <w:spacing w:after="0"/>
      </w:pPr>
      <w:r>
        <w:rPr>
          <w:b/>
          <w:sz w:val="21"/>
        </w:rPr>
        <w:t>证券分析师助理 · 国盛证券股份有限公司</w:t>
      </w:r>
    </w:p>
    <w:p>
      <w:pPr>
        <w:spacing w:after="20"/>
      </w:pPr>
      <w:r>
        <w:rPr>
          <w:color w:val="888888"/>
          <w:sz w:val="18"/>
        </w:rPr>
        <w:t>2025.08 - 2025.12</w:t>
      </w:r>
    </w:p>
    <w:p>
      <w:pPr>
        <w:spacing w:after="20" w:line="264" w:lineRule="auto"/>
      </w:pPr>
      <w:r>
        <w:rPr>
          <w:b/>
          <w:color w:val="888888"/>
          <w:sz w:val="19"/>
        </w:rPr>
        <w:t xml:space="preserve">· </w:t>
      </w:r>
      <w:r>
        <w:rPr>
          <w:sz w:val="19"/>
        </w:rPr>
        <w:t>行业研究：独立完成 3 份消费服务行业深度报告，对比多家上市公司经营数据、分析行业成本端与客单价趋势，核心观点纳入投资参考</w:t>
      </w:r>
    </w:p>
    <w:p>
      <w:pPr>
        <w:spacing w:after="20" w:line="264" w:lineRule="auto"/>
      </w:pPr>
      <w:r>
        <w:rPr>
          <w:b/>
          <w:color w:val="888888"/>
          <w:sz w:val="19"/>
        </w:rPr>
        <w:t xml:space="preserve">· </w:t>
      </w:r>
      <w:r>
        <w:rPr>
          <w:sz w:val="19"/>
        </w:rPr>
        <w:t>数据分析：搭建门店经营数据动态监测系统（Excel Power Query + 数据透视表），追踪华东区域门店运营效率，识别库存周转、人效分化等共性成因并提出优化建议</w:t>
      </w:r>
    </w:p>
    <w:p>
      <w:pPr>
        <w:spacing w:after="0"/>
      </w:pPr>
      <w:r>
        <w:rPr>
          <w:b/>
          <w:sz w:val="21"/>
        </w:rPr>
        <w:t>人力资源实习生（含客户经理轮岗/ 寒假实践） · 中国联通（上海）公司</w:t>
      </w:r>
    </w:p>
    <w:p>
      <w:pPr>
        <w:spacing w:after="20"/>
      </w:pPr>
      <w:r>
        <w:rPr>
          <w:color w:val="888888"/>
          <w:sz w:val="18"/>
        </w:rPr>
        <w:t>2026.01 - 2026.02</w:t>
      </w:r>
    </w:p>
    <w:p>
      <w:pPr>
        <w:spacing w:after="20" w:line="264" w:lineRule="auto"/>
      </w:pPr>
      <w:r>
        <w:rPr>
          <w:b/>
          <w:color w:val="888888"/>
          <w:sz w:val="19"/>
        </w:rPr>
        <w:t xml:space="preserve">· </w:t>
      </w:r>
      <w:r>
        <w:rPr>
          <w:sz w:val="19"/>
        </w:rPr>
        <w:t>数据管理：统筹企业新型学徒制培训项目数据管理，覆盖 7 个班级、21 个部门 3,500+ 条积点数据，建立数据台账并交叉校验，协调跨部门数据口径统一</w:t>
      </w:r>
    </w:p>
    <w:p>
      <w:pPr>
        <w:spacing w:after="20" w:line="264" w:lineRule="auto"/>
      </w:pPr>
      <w:r>
        <w:rPr>
          <w:b/>
          <w:color w:val="888888"/>
          <w:sz w:val="19"/>
        </w:rPr>
        <w:t xml:space="preserve">· </w:t>
      </w:r>
      <w:r>
        <w:rPr>
          <w:sz w:val="19"/>
        </w:rPr>
        <w:t>规范建设：发现各部门考核评分标准不一致的系统性问题，协助制定统一规范，沉淀数据治理与流程优化方法论</w:t>
      </w:r>
    </w:p>
    <w:p>
      <w:pPr>
        <w:spacing w:after="0"/>
      </w:pPr>
      <w:r>
        <w:rPr>
          <w:b/>
          <w:sz w:val="21"/>
        </w:rPr>
        <w:t>产业调研与项目评估 · 上海市经济和信息化委员会</w:t>
      </w:r>
    </w:p>
    <w:p>
      <w:pPr>
        <w:spacing w:after="20"/>
      </w:pPr>
      <w:r>
        <w:rPr>
          <w:color w:val="888888"/>
          <w:sz w:val="18"/>
        </w:rPr>
        <w:t>2026.03 - 2026.07</w:t>
      </w:r>
    </w:p>
    <w:p>
      <w:pPr>
        <w:spacing w:after="20" w:line="264" w:lineRule="auto"/>
      </w:pPr>
      <w:r>
        <w:rPr>
          <w:b/>
          <w:color w:val="888888"/>
          <w:sz w:val="19"/>
        </w:rPr>
        <w:t xml:space="preserve">· </w:t>
      </w:r>
      <w:r>
        <w:rPr>
          <w:sz w:val="19"/>
        </w:rPr>
        <w:t>政策调研：参与 20+ 场智能制造项目评审与产业政策研究，梳理企业申报材料的资质、证明链与数据一致性，优化审核清单后项目通过率提升至 95%</w:t>
      </w:r>
    </w:p>
    <w:p>
      <w:pPr>
        <w:spacing w:after="20" w:line="264" w:lineRule="auto"/>
      </w:pPr>
      <w:r>
        <w:rPr>
          <w:b/>
          <w:color w:val="888888"/>
          <w:sz w:val="19"/>
        </w:rPr>
        <w:t xml:space="preserve">· </w:t>
      </w:r>
      <w:r>
        <w:rPr>
          <w:sz w:val="19"/>
        </w:rPr>
        <w:t>企业调研：实地走访 15+ 家新能源及高端装备企业，撰写 3 篇产业调研报告，锻炼信息归纳、跨层级沟通与需求对接能力</w:t>
      </w:r>
    </w:p>
    <w:p>
      <w:pPr>
        <w:spacing w:after="0"/>
      </w:pPr>
      <w:r>
        <w:rPr>
          <w:b/>
          <w:sz w:val="21"/>
        </w:rPr>
        <w:t>行政助理·实习教师（寒暑假期实践） · 农业农村局/ 红河州高中/ 屏边县团县委</w:t>
      </w:r>
    </w:p>
    <w:p>
      <w:pPr>
        <w:spacing w:after="20"/>
      </w:pPr>
      <w:r>
        <w:rPr>
          <w:color w:val="888888"/>
          <w:sz w:val="18"/>
        </w:rPr>
        <w:t>2024.01-02 / 2024.07-08 / 2025.07-08</w:t>
      </w:r>
    </w:p>
    <w:p>
      <w:pPr>
        <w:spacing w:after="20" w:line="264" w:lineRule="auto"/>
      </w:pPr>
      <w:r>
        <w:rPr>
          <w:b/>
          <w:color w:val="888888"/>
          <w:sz w:val="19"/>
        </w:rPr>
        <w:t xml:space="preserve">· </w:t>
      </w:r>
      <w:r>
        <w:rPr>
          <w:sz w:val="19"/>
        </w:rPr>
        <w:t>综合实践：参与西部计划宣讲会筹备、政府公文收发登记与台账管理，承担高三教学辅助工作，均获实习鉴定优秀评价</w:t>
      </w:r>
    </w:p>
    <w:p>
      <w:pPr>
        <w:spacing w:before="60" w:after="20"/>
        <w:pBdr>
          <w:bottom w:val="single" w:sz="6" w:space="2" w:color="44557a"/>
        </w:pBdr>
      </w:pPr>
      <w:r>
        <w:rPr>
          <w:b/>
          <w:color w:val="44557A"/>
          <w:sz w:val="23"/>
        </w:rPr>
        <w:t>竞赛与科研</w:t>
      </w:r>
    </w:p>
    <w:p>
      <w:pPr>
        <w:spacing w:after="0"/>
      </w:pPr>
      <w:r>
        <w:rPr>
          <w:b/>
          <w:sz w:val="21"/>
        </w:rPr>
        <w:t>数据分析负责人·优秀奖 · 正大杯市场分析与调查大赛</w:t>
      </w:r>
    </w:p>
    <w:p>
      <w:pPr>
        <w:spacing w:after="20"/>
      </w:pPr>
      <w:r>
        <w:rPr>
          <w:color w:val="888888"/>
          <w:sz w:val="18"/>
        </w:rPr>
        <w:t>2024.11 - 2025.03</w:t>
      </w:r>
    </w:p>
    <w:p>
      <w:pPr>
        <w:spacing w:after="20" w:line="264" w:lineRule="auto"/>
      </w:pPr>
      <w:r>
        <w:rPr>
          <w:b/>
          <w:color w:val="888888"/>
          <w:sz w:val="19"/>
        </w:rPr>
        <w:t xml:space="preserve">· </w:t>
      </w:r>
      <w:r>
        <w:rPr>
          <w:sz w:val="19"/>
        </w:rPr>
        <w:t>数据分析：围绕快递网点取件对周边消费的带动效应展开全国调研（n=1,352，有效1,146，覆盖31 省），构建LPM、Logistic、多元线性回归三类计量模型；发现86.98%取件人会附带消费、傍晚时段边际效应最强（系数0.41，p&lt;0.001）、通行时间每增1 级消费优势比提升4.34 倍，据此提出“时间成本分摊”机制并提出分时分层商铺布局建议</w:t>
      </w:r>
    </w:p>
    <w:p>
      <w:pPr>
        <w:spacing w:after="0"/>
      </w:pPr>
      <w:r>
        <w:rPr>
          <w:b/>
          <w:sz w:val="21"/>
        </w:rPr>
        <w:t>个人赛参赛选手·优秀等级 · 上证杯第六届全国高校ETF 知识及理财规划大赛</w:t>
      </w:r>
    </w:p>
    <w:p>
      <w:pPr>
        <w:spacing w:after="20"/>
      </w:pPr>
      <w:r>
        <w:rPr>
          <w:color w:val="888888"/>
          <w:sz w:val="18"/>
        </w:rPr>
        <w:t>2026.06</w:t>
      </w:r>
    </w:p>
    <w:p>
      <w:pPr>
        <w:spacing w:after="20" w:line="264" w:lineRule="auto"/>
      </w:pPr>
      <w:r>
        <w:rPr>
          <w:b/>
          <w:color w:val="888888"/>
          <w:sz w:val="19"/>
        </w:rPr>
        <w:t xml:space="preserve">· </w:t>
      </w:r>
      <w:r>
        <w:rPr>
          <w:sz w:val="19"/>
        </w:rPr>
        <w:t>知识竞赛：80 题仅错6 题，正确率92.5%；模拟投资环节独立完成行情研判与资产配置决策，实现资产净值增长36%</w:t>
      </w:r>
    </w:p>
    <w:p>
      <w:pPr>
        <w:spacing w:before="60" w:after="20"/>
        <w:pBdr>
          <w:bottom w:val="single" w:sz="6" w:space="2" w:color="44557a"/>
        </w:pBdr>
      </w:pPr>
      <w:r>
        <w:rPr>
          <w:b/>
          <w:color w:val="44557A"/>
          <w:sz w:val="23"/>
        </w:rPr>
        <w:t>新媒体运营</w:t>
      </w:r>
    </w:p>
    <w:p>
      <w:pPr>
        <w:spacing w:after="0"/>
      </w:pPr>
      <w:r>
        <w:rPr>
          <w:b/>
          <w:sz w:val="21"/>
        </w:rPr>
        <w:t>新媒体运营（独立创作） · Bilibili UP主「黎明之剑11」</w:t>
      </w:r>
    </w:p>
    <w:p>
      <w:pPr>
        <w:spacing w:after="20"/>
      </w:pPr>
      <w:r>
        <w:rPr>
          <w:color w:val="888888"/>
          <w:sz w:val="18"/>
        </w:rPr>
        <w:t>2023.10–至今</w:t>
      </w:r>
    </w:p>
    <w:p>
      <w:pPr>
        <w:spacing w:after="20" w:line="264" w:lineRule="auto"/>
      </w:pPr>
      <w:r>
        <w:rPr>
          <w:b/>
          <w:color w:val="888888"/>
          <w:sz w:val="19"/>
        </w:rPr>
        <w:t xml:space="preserve">· </w:t>
      </w:r>
      <w:r>
        <w:rPr>
          <w:sz w:val="19"/>
        </w:rPr>
        <w:t>独立运营 B站账号「黎明之剑11」，内容涵盖游戏科普（《群星》）、文学创意、校园幽默等方向；粉丝 4,435，投稿 60+ 份，累计播放 650.7 万、获赞 42.6 万</w:t>
      </w:r>
    </w:p>
    <w:p>
      <w:pPr>
        <w:spacing w:after="20" w:line="264" w:lineRule="auto"/>
      </w:pPr>
      <w:r>
        <w:rPr>
          <w:b/>
          <w:color w:val="888888"/>
          <w:sz w:val="19"/>
        </w:rPr>
        <w:t xml:space="preserve">· </w:t>
      </w:r>
      <w:r>
        <w:rPr>
          <w:sz w:val="19"/>
        </w:rPr>
        <w:t>全流程负责选题策划、脚本撰写、视频剪辑与账号运营，沉淀内容策划、数据复盘与用户洞察能力</w:t>
      </w:r>
    </w:p>
    <w:p>
      <w:pPr>
        <w:spacing w:after="20" w:line="264" w:lineRule="auto"/>
      </w:pPr>
      <w:r>
        <w:rPr>
          <w:b/>
          <w:color w:val="888888"/>
          <w:sz w:val="19"/>
        </w:rPr>
        <w:t xml:space="preserve">· </w:t>
      </w:r>
      <w:r>
        <w:rPr>
          <w:sz w:val="19"/>
        </w:rPr>
        <w:t>数据驱动选题：基于播放、完播与互动数据复盘爆款共性、反推垂类选题，并将游戏社区运营的用户洞察与方法论迁移至商业内容运营的选题与增长策略</w:t>
      </w:r>
    </w:p>
    <w:p>
      <w:pPr>
        <w:spacing w:after="20" w:line="264" w:lineRule="auto"/>
      </w:pPr>
      <w:r>
        <w:rPr>
          <w:b/>
          <w:color w:val="888888"/>
          <w:sz w:val="19"/>
        </w:rPr>
        <w:t xml:space="preserve">· </w:t>
      </w:r>
      <w:r>
        <w:rPr>
          <w:sz w:val="19"/>
        </w:rPr>
        <w:t>代表作《你天生就是玩群星的料！》单条播放 50.7 万、《这图片差点没崩住》25.1 万；累计互动收藏 9.9 万、投币 1 万、分享 1 万，单粉播放比约 1,467，内容传播力突出</w:t>
      </w:r>
    </w:p>
    <w:p>
      <w:pPr>
        <w:spacing w:before="60" w:after="20"/>
        <w:pBdr>
          <w:bottom w:val="single" w:sz="6" w:space="2" w:color="44557a"/>
        </w:pBdr>
      </w:pPr>
      <w:r>
        <w:rPr>
          <w:b/>
          <w:color w:val="44557A"/>
          <w:sz w:val="23"/>
        </w:rPr>
        <w:t>开源项目</w:t>
      </w:r>
    </w:p>
    <w:p>
      <w:pPr>
        <w:spacing w:after="20" w:line="264" w:lineRule="auto"/>
      </w:pPr>
      <w:r>
        <w:rPr>
          <w:b/>
          <w:color w:val="888888"/>
          <w:sz w:val="19"/>
        </w:rPr>
        <w:t xml:space="preserve">· </w:t>
      </w:r>
      <w:r>
        <w:rPr>
          <w:color w:val="444444"/>
          <w:sz w:val="19"/>
        </w:rPr>
        <w:t>个人 G</w:t>
      </w:r>
      <w:r>
        <w:rPr>
          <w:color w:val="444444"/>
          <w:sz w:val="19"/>
        </w:rPr>
        <w:t>it</w:t>
      </w:r>
      <w:r>
        <w:rPr>
          <w:color w:val="444444"/>
          <w:sz w:val="19"/>
        </w:rPr>
        <w:t>H</w:t>
      </w:r>
      <w:r>
        <w:rPr>
          <w:color w:val="444444"/>
          <w:sz w:val="19"/>
        </w:rPr>
        <w:t>ub</w:t>
      </w:r>
      <w:r>
        <w:rPr>
          <w:color w:val="444444"/>
          <w:sz w:val="19"/>
        </w:rPr>
        <w:t xml:space="preserve"> 开源 80+ 经济与数据科学项目（P</w:t>
      </w:r>
      <w:r>
        <w:rPr>
          <w:color w:val="444444"/>
          <w:sz w:val="19"/>
        </w:rPr>
        <w:t>ython</w:t>
      </w:r>
      <w:r>
        <w:rPr>
          <w:color w:val="444444"/>
          <w:sz w:val="19"/>
        </w:rPr>
        <w:t xml:space="preserve"> 为主），覆盖计量经济（</w:t>
      </w:r>
      <w:hyperlink r:id="rId14">
        <w:r>
          <w:rPr>
            <w:color w:val="2F6B50"/>
            <w:sz w:val="19"/>
          </w:rPr>
          <w:t>pyconometrics</w:t>
        </w:r>
      </w:hyperlink>
      <w:r>
        <w:rPr>
          <w:color w:val="444444"/>
          <w:sz w:val="19"/>
        </w:rPr>
        <w:t xml:space="preserve"> / </w:t>
      </w:r>
      <w:hyperlink r:id="rId15">
        <w:r>
          <w:rPr>
            <w:color w:val="2F6B50"/>
            <w:sz w:val="19"/>
          </w:rPr>
          <w:t>spatialecon</w:t>
        </w:r>
      </w:hyperlink>
      <w:r>
        <w:rPr>
          <w:color w:val="444444"/>
          <w:sz w:val="19"/>
        </w:rPr>
        <w:t>）、量化金融（</w:t>
      </w:r>
      <w:hyperlink r:id="rId16">
        <w:r>
          <w:rPr>
            <w:color w:val="2F6B50"/>
            <w:sz w:val="19"/>
          </w:rPr>
          <w:t>quantlab</w:t>
        </w:r>
      </w:hyperlink>
      <w:r>
        <w:rPr>
          <w:color w:val="444444"/>
          <w:sz w:val="19"/>
        </w:rPr>
        <w:t xml:space="preserve"> / </w:t>
      </w:r>
      <w:hyperlink r:id="rId17">
        <w:r>
          <w:rPr>
            <w:color w:val="2F6B50"/>
            <w:sz w:val="19"/>
          </w:rPr>
          <w:t>fund-analysis</w:t>
        </w:r>
      </w:hyperlink>
      <w:r>
        <w:rPr>
          <w:color w:val="444444"/>
          <w:sz w:val="19"/>
        </w:rPr>
        <w:t>）、因果推断（</w:t>
      </w:r>
      <w:hyperlink r:id="rId18">
        <w:r>
          <w:rPr>
            <w:color w:val="2F6B50"/>
            <w:sz w:val="19"/>
          </w:rPr>
          <w:t>causal-inference-ml</w:t>
        </w:r>
      </w:hyperlink>
      <w:r>
        <w:rPr>
          <w:color w:val="444444"/>
          <w:sz w:val="19"/>
        </w:rPr>
        <w:t>）、经济可视化（</w:t>
      </w:r>
      <w:hyperlink r:id="rId19">
        <w:r>
          <w:rPr>
            <w:color w:val="2F6B50"/>
            <w:sz w:val="19"/>
          </w:rPr>
          <w:t>econ-dashboard</w:t>
        </w:r>
      </w:hyperlink>
      <w:r>
        <w:rPr>
          <w:color w:val="444444"/>
          <w:sz w:val="19"/>
        </w:rPr>
        <w:t xml:space="preserve"> / </w:t>
      </w:r>
      <w:hyperlink r:id="rId20">
        <w:r>
          <w:rPr>
            <w:color w:val="2F6B50"/>
            <w:sz w:val="19"/>
          </w:rPr>
          <w:t>china-econ-pulse</w:t>
        </w:r>
      </w:hyperlink>
      <w:r>
        <w:rPr>
          <w:color w:val="444444"/>
          <w:sz w:val="19"/>
        </w:rPr>
        <w:t>）、政策模拟（</w:t>
      </w:r>
      <w:hyperlink r:id="rId21">
        <w:r>
          <w:rPr>
            <w:color w:val="2F6B50"/>
            <w:sz w:val="19"/>
          </w:rPr>
          <w:t>policysim</w:t>
        </w:r>
      </w:hyperlink>
      <w:r>
        <w:rPr>
          <w:color w:val="444444"/>
          <w:sz w:val="19"/>
        </w:rPr>
        <w:t xml:space="preserve">）及 8 个 MCP 服务器（208 个工具接口）与 </w:t>
      </w:r>
      <w:r>
        <w:rPr>
          <w:color w:val="444444"/>
          <w:sz w:val="19"/>
        </w:rPr>
        <w:t>agent</w:t>
      </w:r>
      <w:r>
        <w:rPr>
          <w:color w:val="444444"/>
          <w:sz w:val="19"/>
        </w:rPr>
        <w:t xml:space="preserve"> 框架；代表作 </w:t>
      </w:r>
      <w:hyperlink r:id="rId22">
        <w:r>
          <w:rPr>
            <w:color w:val="2F6B50"/>
            <w:sz w:val="19"/>
          </w:rPr>
          <w:t>express-consumption</w:t>
        </w:r>
      </w:hyperlink>
      <w:r>
        <w:rPr>
          <w:color w:val="444444"/>
          <w:sz w:val="19"/>
        </w:rPr>
        <w:t xml:space="preserve"> 为正大杯 1,352 份问卷计量可复现代码，B站账号「黎明之剑11」粉丝 4,435、累计播放 650.7 万</w:t>
      </w:r>
    </w:p>
    <w:p>
      <w:pPr>
        <w:spacing w:before="60" w:after="20"/>
        <w:pBdr>
          <w:bottom w:val="single" w:sz="6" w:space="2" w:color="44557a"/>
        </w:pBdr>
      </w:pPr>
      <w:r>
        <w:rPr>
          <w:b/>
          <w:color w:val="44557A"/>
          <w:sz w:val="23"/>
        </w:rPr>
        <w:t>专业技能</w:t>
      </w:r>
    </w:p>
    <w:p>
      <w:pPr>
        <w:spacing w:after="20" w:line="264" w:lineRule="auto"/>
      </w:pPr>
      <w:r>
        <w:rPr>
          <w:b/>
          <w:color w:val="888888"/>
          <w:sz w:val="19"/>
        </w:rPr>
        <w:t xml:space="preserve">· </w:t>
      </w:r>
      <w:r>
        <w:rPr>
          <w:sz w:val="19"/>
        </w:rPr>
        <w:t>数据分析：Python（pandas）/ SQL / SPSS / Stata / Excel（数据透视表、Power Query）</w:t>
      </w:r>
    </w:p>
    <w:p>
      <w:pPr>
        <w:spacing w:after="20" w:line="264" w:lineRule="auto"/>
      </w:pPr>
      <w:r>
        <w:rPr>
          <w:b/>
          <w:color w:val="888888"/>
          <w:sz w:val="19"/>
        </w:rPr>
        <w:t xml:space="preserve">· </w:t>
      </w:r>
      <w:r>
        <w:rPr>
          <w:sz w:val="19"/>
        </w:rPr>
        <w:t>办公应用：MS Office / 公文写作 / 台账管理</w:t>
      </w:r>
    </w:p>
    <w:p>
      <w:pPr>
        <w:spacing w:after="20" w:line="264" w:lineRule="auto"/>
      </w:pPr>
      <w:r>
        <w:rPr>
          <w:b/>
          <w:color w:val="888888"/>
          <w:sz w:val="19"/>
        </w:rPr>
        <w:t xml:space="preserve">· </w:t>
      </w:r>
      <w:r>
        <w:rPr>
          <w:sz w:val="19"/>
        </w:rPr>
        <w:t>金融证书：基金从业 / 银行从业 / 初级会计</w:t>
      </w:r>
    </w:p>
    <w:p>
      <w:pPr>
        <w:spacing w:after="20" w:line="264" w:lineRule="auto"/>
      </w:pPr>
      <w:r>
        <w:rPr>
          <w:b/>
          <w:color w:val="888888"/>
          <w:sz w:val="19"/>
        </w:rPr>
        <w:t xml:space="preserve">· </w:t>
      </w:r>
      <w:r>
        <w:rPr>
          <w:sz w:val="19"/>
        </w:rPr>
        <w:t>其他：C1 驾驶证</w:t>
      </w:r>
    </w:p>
    <w:p>
      <w:pPr>
        <w:spacing w:before="60" w:after="20"/>
        <w:pBdr>
          <w:bottom w:val="single" w:sz="6" w:space="2" w:color="44557a"/>
        </w:pBdr>
      </w:pPr>
      <w:r>
        <w:rPr>
          <w:b/>
          <w:color w:val="44557A"/>
          <w:sz w:val="23"/>
        </w:rPr>
        <w:t>荣誉证书</w:t>
      </w:r>
    </w:p>
    <w:p>
      <w:pPr>
        <w:spacing w:after="40"/>
      </w:pPr>
      <w:r>
        <w:rPr>
          <w:sz w:val="19"/>
        </w:rPr>
        <w:t>· 基金从业资格证  · 银行从业资格证  · 初级会计职称  · CET-6  · 正大杯市场调查大赛优秀奖  · 上证杯ETF 知识竞赛优秀  · 全国大学生数学建模竞赛省级二等奖  · C1 驾驶证</w:t>
      </w:r>
    </w:p>
    <w:p>
      <w:pPr>
        <w:spacing w:before="60" w:after="20"/>
        <w:pBdr>
          <w:bottom w:val="single" w:sz="6" w:space="2" w:color="44557a"/>
        </w:pBdr>
      </w:pPr>
      <w:r>
        <w:rPr>
          <w:b/>
          <w:color w:val="44557A"/>
          <w:sz w:val="23"/>
        </w:rPr>
        <w:t>自我评价</w:t>
      </w:r>
    </w:p>
    <w:p>
      <w:pPr>
        <w:spacing w:after="40"/>
      </w:pPr>
      <w:r>
        <w:rPr>
          <w:sz w:val="19"/>
        </w:rPr>
        <w:t>经济学本科（前 30%），持基金/银行从业双证及初级会计；四段实践覆盖证券分析、人力资源、政策调研与基层行政，具备数据分析、公文写作与跨部门协作能力；GitHub 开源 80+、B站累计播放 650.7 万，能将实证分析与内容运营用于业务研判与综合管理等多方向岗位。</w:t>
      </w:r>
    </w:p>
    <w:p>
      <w:pPr>
        <w:spacing w:before="60" w:after="20"/>
        <w:pBdr>
          <w:bottom w:val="single" w:sz="6" w:space="2" w:color="44557a"/>
        </w:pBdr>
      </w:pPr>
      <w:r>
        <w:rPr>
          <w:b/>
          <w:color w:val="44557A"/>
          <w:sz w:val="23"/>
        </w:rPr>
        <w:t>作品集</w:t>
      </w:r>
    </w:p>
    <w:p>
      <w:pPr>
        <w:spacing w:after="20"/>
      </w:pPr>
      <w:r>
        <w:rPr>
          <w:sz w:val="19"/>
        </w:rPr>
        <w:t>交互式作品集（GitHub Pages·6 岗定制）：含杜邦分析、异常交易检测、期权微笑、RFM 用户分层、神经网络训练、K-Means 聚类等真实业务场景的可交互图表，代码全开源；点右上二维码或下方「作品集🔗」看本岗专属交互版。</w:t>
      </w:r>
    </w:p>
    <w:p>
      <w:pPr>
        <w:spacing w:after="40"/>
      </w:pPr>
      <w:r>
        <w:rPr>
          <w:color w:val="666666"/>
          <w:sz w:val="19"/>
        </w:rPr>
        <w:t>查看本岗交互版：</w:t>
      </w:r>
      <w:hyperlink r:id="rId13">
        <w:r>
          <w:rPr>
            <w:color w:val="44557A"/>
            <w:sz w:val="19"/>
          </w:rPr>
          <w:t>wzx11223344.github.io/portfolio-demo/positions/general.html</w:t>
        </w:r>
      </w:hyperlink>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wzx11223344" TargetMode="External"/><Relationship Id="rId12" Type="http://schemas.openxmlformats.org/officeDocument/2006/relationships/hyperlink" Target="https://space.bilibili.com/502800415" TargetMode="External"/><Relationship Id="rId13" Type="http://schemas.openxmlformats.org/officeDocument/2006/relationships/hyperlink" Target="https://wzx11223344.github.io/portfolio-demo/positions/general.html" TargetMode="External"/><Relationship Id="rId14" Type="http://schemas.openxmlformats.org/officeDocument/2006/relationships/hyperlink" Target="https://github.com/wzx11223344/pyconometrics" TargetMode="External"/><Relationship Id="rId15" Type="http://schemas.openxmlformats.org/officeDocument/2006/relationships/hyperlink" Target="https://github.com/wzx11223344/spatialecon" TargetMode="External"/><Relationship Id="rId16" Type="http://schemas.openxmlformats.org/officeDocument/2006/relationships/hyperlink" Target="https://github.com/wzx11223344/quantlab" TargetMode="External"/><Relationship Id="rId17" Type="http://schemas.openxmlformats.org/officeDocument/2006/relationships/hyperlink" Target="https://github.com/wzx11223344/fund-analysis" TargetMode="External"/><Relationship Id="rId18" Type="http://schemas.openxmlformats.org/officeDocument/2006/relationships/hyperlink" Target="https://github.com/wzx11223344/causal-inference-ml" TargetMode="External"/><Relationship Id="rId19" Type="http://schemas.openxmlformats.org/officeDocument/2006/relationships/hyperlink" Target="https://github.com/wzx11223344/econ-dashboard" TargetMode="External"/><Relationship Id="rId20" Type="http://schemas.openxmlformats.org/officeDocument/2006/relationships/hyperlink" Target="https://github.com/wzx11223344/china-econ-pulse" TargetMode="External"/><Relationship Id="rId21" Type="http://schemas.openxmlformats.org/officeDocument/2006/relationships/hyperlink" Target="https://github.com/wzx11223344/policysim" TargetMode="External"/><Relationship Id="rId22" Type="http://schemas.openxmlformats.org/officeDocument/2006/relationships/hyperlink" Target="https://github.com/wzx11223344/express-consum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