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2000"/>
        <w:gridCol w:w="6606"/>
        <w:gridCol w:w="1600"/>
      </w:tblGrid>
      <w:tr>
        <w:tc>
          <w:tcPr>
            <w:tcW w:type="dxa" w:w="2000"/>
          </w:tcPr>
          <w:p>
            <w:r>
              <w:drawing>
                <wp:inline xmlns:a="http://schemas.openxmlformats.org/drawingml/2006/main" xmlns:pic="http://schemas.openxmlformats.org/drawingml/2006/picture">
                  <wp:extent cx="900000" cy="1260000"/>
                  <wp:docPr id="1" name="Picture 1"/>
                  <wp:cNvGraphicFramePr>
                    <a:graphicFrameLocks noChangeAspect="1"/>
                  </wp:cNvGraphicFramePr>
                  <a:graphic>
                    <a:graphicData uri="http://schemas.openxmlformats.org/drawingml/2006/picture">
                      <pic:pic>
                        <pic:nvPicPr>
                          <pic:cNvPr id="0" name="photo.png"/>
                          <pic:cNvPicPr/>
                        </pic:nvPicPr>
                        <pic:blipFill>
                          <a:blip r:embed="rId9"/>
                          <a:stretch>
                            <a:fillRect/>
                          </a:stretch>
                        </pic:blipFill>
                        <pic:spPr>
                          <a:xfrm>
                            <a:off x="0" y="0"/>
                            <a:ext cx="900000" cy="1260000"/>
                          </a:xfrm>
                          <a:prstGeom prst="rect"/>
                        </pic:spPr>
                      </pic:pic>
                    </a:graphicData>
                  </a:graphic>
                </wp:inline>
              </w:drawing>
            </w:r>
          </w:p>
        </w:tc>
        <w:tc>
          <w:tcPr>
            <w:tcW w:type="dxa" w:w="6606"/>
          </w:tcPr>
          <w:p>
            <w:r>
              <w:rPr>
                <w:b/>
                <w:color w:val="2F6B50"/>
                <w:sz w:val="36"/>
              </w:rPr>
              <w:t xml:space="preserve">万值翔</w:t>
            </w:r>
          </w:p>
          <w:p>
            <w:r>
              <w:rPr>
                <w:color w:val="555555"/>
                <w:sz w:val="19"/>
              </w:rPr>
              <w:t xml:space="preserve">经济学本科 · 2027 届 · 共青团员</w:t>
            </w:r>
          </w:p>
          <w:p>
            <w:r>
              <w:rPr>
                <w:color w:val="666666"/>
                <w:sz w:val="19"/>
              </w:rPr>
              <w:t xml:space="preserve">政治面貌：共青团员 | 籍贯：云南省红河州</w:t>
            </w:r>
          </w:p>
          <w:p>
            <w:r>
              <w:rPr>
                <w:color w:val="666666"/>
                <w:sz w:val="19"/>
              </w:rPr>
              <w:t>电话：13388736755</w:t>
            </w:r>
            <w:r>
              <w:rPr/>
              <w:t xml:space="preserve">   </w:t>
            </w:r>
            <w:r>
              <w:rPr>
                <w:color w:val="666666"/>
                <w:sz w:val="19"/>
              </w:rPr>
              <w:t>邮箱：13388736755@163.com</w:t>
            </w:r>
          </w:p>
        </w:tc>
        <w:tc>
          <w:tcPr>
            <w:tcW w:type="dxa" w:w="1600"/>
          </w:tcPr>
          <w:p>
            <w:pPr>
              <w:jc w:val="center"/>
            </w:pPr>
          </w:p>
          <w:p>
            <w:pPr>
              <w:jc w:val="center"/>
            </w:pPr>
          </w:p>
        </w:tc>
      </w:tr>
    </w:tbl>
    <w:p>
      <w:pPr>
        <w:spacing w:after="40"/>
        <w:jc w:val="left"/>
      </w:pPr>
      <w:r>
        <w:rPr>
          <w:color w:val="444444"/>
          <w:sz w:val="19"/>
        </w:rPr>
        <w:t>意向单位：党政机关/事业单位 ｜ 目标岗位：综合管理/政策研究/经济分析 ｜ 意向城市：云南省（红河州）/上海 ｜ 教育：华东师范大学·经济学本科（前30%）</w:t>
      </w:r>
    </w:p>
    <w:p>
      <w:pPr>
        <w:spacing w:before="60" w:after="20"/>
        <w:pBdr>
          <w:bottom w:val="single" w:sz="6" w:space="2" w:color="2f6b50"/>
        </w:pBdr>
      </w:pPr>
      <w:r>
        <w:rPr>
          <w:b/>
          <w:color w:val="2F6B50"/>
          <w:sz w:val="23"/>
        </w:rPr>
        <w:t>实习经历</w:t>
      </w:r>
    </w:p>
    <w:p>
      <w:pPr>
        <w:spacing w:after="0"/>
      </w:pPr>
      <w:r>
        <w:rPr>
          <w:b/>
          <w:sz w:val="21"/>
        </w:rPr>
        <w:t>产业调研与项目评估 · 上海市经济和信息化委员会</w:t>
      </w:r>
    </w:p>
    <w:p>
      <w:pPr>
        <w:spacing w:after="20"/>
      </w:pPr>
      <w:r>
        <w:rPr>
          <w:color w:val="888888"/>
          <w:sz w:val="18"/>
        </w:rPr>
        <w:t>2026.03 - 2026.07</w:t>
      </w:r>
    </w:p>
    <w:p>
      <w:pPr>
        <w:spacing w:after="20" w:line="264" w:lineRule="auto"/>
      </w:pPr>
      <w:r>
        <w:rPr>
          <w:b/>
          <w:color w:val="888888"/>
          <w:sz w:val="19"/>
        </w:rPr>
        <w:t xml:space="preserve">· </w:t>
      </w:r>
      <w:r>
        <w:rPr>
          <w:sz w:val="19"/>
        </w:rPr>
        <w:t>政策研究：参与 20+ 场智能制造项目评审与产业政策研究，梳理企业申报材料的资质、证明链与数据一致性，优化审核清单后项目通过率提升至 95%</w:t>
      </w:r>
    </w:p>
    <w:p>
      <w:pPr>
        <w:spacing w:after="20" w:line="264" w:lineRule="auto"/>
      </w:pPr>
      <w:r>
        <w:rPr>
          <w:b/>
          <w:color w:val="888888"/>
          <w:sz w:val="19"/>
        </w:rPr>
        <w:t xml:space="preserve">· </w:t>
      </w:r>
      <w:r>
        <w:rPr>
          <w:sz w:val="19"/>
        </w:rPr>
        <w:t>公文与调研：实地走访 15+ 家新能源及高端装备企业，撰写 3 篇产业调研报告提交产业处，输出中小企业数字化转型瓶颈分析与政策建议</w:t>
      </w:r>
    </w:p>
    <w:p>
      <w:pPr>
        <w:spacing w:after="0"/>
      </w:pPr>
      <w:r>
        <w:rPr>
          <w:b/>
          <w:sz w:val="21"/>
        </w:rPr>
        <w:t>行政助理·实习教师（寒暑假期实践） · 屏边县团县委 / 农业农村局 / 红河州高中</w:t>
      </w:r>
    </w:p>
    <w:p>
      <w:pPr>
        <w:spacing w:after="20"/>
      </w:pPr>
      <w:r>
        <w:rPr>
          <w:color w:val="888888"/>
          <w:sz w:val="18"/>
        </w:rPr>
        <w:t>2024.01-02 / 2024.07-08 / 2025.07-08</w:t>
      </w:r>
    </w:p>
    <w:p>
      <w:pPr>
        <w:spacing w:after="20" w:line="264" w:lineRule="auto"/>
      </w:pPr>
      <w:r>
        <w:rPr>
          <w:b/>
          <w:color w:val="888888"/>
          <w:sz w:val="19"/>
        </w:rPr>
        <w:t xml:space="preserve">· </w:t>
      </w:r>
      <w:r>
        <w:rPr>
          <w:sz w:val="19"/>
        </w:rPr>
        <w:t>基层实践：参与西部计划宣讲会筹备与组织、政府公文收发登记与台账管理，承担高三教学辅助工作，三段实践均获实习鉴定优秀评价</w:t>
      </w:r>
    </w:p>
    <w:p>
      <w:pPr>
        <w:spacing w:after="20" w:line="264" w:lineRule="auto"/>
      </w:pPr>
      <w:r>
        <w:rPr>
          <w:b/>
          <w:color w:val="888888"/>
          <w:sz w:val="19"/>
        </w:rPr>
        <w:t xml:space="preserve">· </w:t>
      </w:r>
      <w:r>
        <w:rPr>
          <w:sz w:val="19"/>
        </w:rPr>
        <w:t>群众工作：参与面向县域青年与应届毕业生的政策宣讲落地，具备与基层群众沟通、协调与服务的实操经验</w:t>
      </w:r>
    </w:p>
    <w:p>
      <w:pPr>
        <w:spacing w:after="0"/>
      </w:pPr>
      <w:r>
        <w:rPr>
          <w:b/>
          <w:sz w:val="21"/>
        </w:rPr>
        <w:t>会计实习生 · 上海沪中会计师事务所</w:t>
      </w:r>
    </w:p>
    <w:p>
      <w:pPr>
        <w:spacing w:after="20"/>
      </w:pPr>
      <w:r>
        <w:rPr>
          <w:color w:val="888888"/>
          <w:sz w:val="18"/>
        </w:rPr>
        <w:t>2026.09 - 2026.12</w:t>
      </w:r>
    </w:p>
    <w:p>
      <w:pPr>
        <w:spacing w:after="20" w:line="264" w:lineRule="auto"/>
      </w:pPr>
      <w:r>
        <w:rPr>
          <w:b/>
          <w:color w:val="888888"/>
          <w:sz w:val="19"/>
        </w:rPr>
        <w:t xml:space="preserve">· </w:t>
      </w:r>
      <w:r>
        <w:rPr>
          <w:sz w:val="19"/>
        </w:rPr>
        <w:t>合规审查：负责企业项目申报材料的合规性审查，核对合同、发票、验收材料与账务记录的一致性，推动企业补充完善支撑材料；参与年度审计实质性程序，具备严谨的合规审核与材料管理能力</w:t>
      </w:r>
    </w:p>
    <w:p>
      <w:pPr>
        <w:spacing w:after="0"/>
      </w:pPr>
      <w:r>
        <w:rPr>
          <w:b/>
          <w:sz w:val="21"/>
        </w:rPr>
        <w:t>人力资源实习生（含客户经理轮岗/ 寒假实践） · 中国联通（上海）公司</w:t>
      </w:r>
    </w:p>
    <w:p>
      <w:pPr>
        <w:spacing w:after="20"/>
      </w:pPr>
      <w:r>
        <w:rPr>
          <w:color w:val="888888"/>
          <w:sz w:val="18"/>
        </w:rPr>
        <w:t>2026.01 - 2026.02</w:t>
      </w:r>
    </w:p>
    <w:p>
      <w:pPr>
        <w:spacing w:after="20" w:line="264" w:lineRule="auto"/>
      </w:pPr>
      <w:r>
        <w:rPr>
          <w:b/>
          <w:color w:val="888888"/>
          <w:sz w:val="19"/>
        </w:rPr>
        <w:t xml:space="preserve">· </w:t>
      </w:r>
      <w:r>
        <w:rPr>
          <w:sz w:val="19"/>
        </w:rPr>
        <w:t>综合事务：统筹企业新型学徒制培训项目数据管理，覆盖 7 个班级、21 个部门 3,500+ 条数据，协调跨部门口径统一与台账规范，协助制定统一考核评分规范</w:t>
      </w:r>
    </w:p>
    <w:p>
      <w:pPr>
        <w:spacing w:before="60" w:after="20"/>
        <w:pBdr>
          <w:bottom w:val="single" w:sz="6" w:space="2" w:color="2f6b50"/>
        </w:pBdr>
      </w:pPr>
      <w:r>
        <w:rPr>
          <w:b/>
          <w:color w:val="2F6B50"/>
          <w:sz w:val="23"/>
        </w:rPr>
        <w:t>项目经历</w:t>
      </w:r>
    </w:p>
    <w:p>
      <w:pPr>
        <w:spacing w:after="0"/>
      </w:pPr>
      <w:r>
        <w:rPr>
          <w:b/>
          <w:sz w:val="21"/>
        </w:rPr>
        <w:t>智能工厂能级提升 · 全流程可观测与指挥平台（产业研究 / 政策评审）</w:t>
      </w:r>
    </w:p>
    <w:p>
      <w:pPr>
        <w:spacing w:after="20"/>
      </w:pPr>
      <w:r>
        <w:rPr>
          <w:color w:val="888888"/>
          <w:sz w:val="18"/>
        </w:rPr>
        <w:t>2026.07 – 至今</w:t>
      </w:r>
    </w:p>
    <w:p>
      <w:pPr>
        <w:spacing w:after="20" w:line="264" w:lineRule="auto"/>
      </w:pPr>
      <w:r>
        <w:rPr>
          <w:b/>
          <w:color w:val="888888"/>
          <w:sz w:val="19"/>
        </w:rPr>
        <w:t xml:space="preserve">· </w:t>
      </w:r>
      <w:r>
        <w:rPr>
          <w:sz w:val="19"/>
        </w:rPr>
        <w:t>政策对标：围绕 2026 版《智能工厂梯度培育要素条件》与制造业智能化专项资金评审逻辑，梳理 4 级能级梯度、5 大建设环节与 22 项绩效指标，形成可复用的评审参考框架</w:t>
      </w:r>
    </w:p>
    <w:p>
      <w:pPr>
        <w:spacing w:after="20" w:line="264" w:lineRule="auto"/>
      </w:pPr>
      <w:r>
        <w:rPr>
          <w:b/>
          <w:color w:val="888888"/>
          <w:sz w:val="19"/>
        </w:rPr>
        <w:t xml:space="preserve">· </w:t>
      </w:r>
      <w:r>
        <w:rPr>
          <w:sz w:val="19"/>
        </w:rPr>
        <w:t>调研洞察：整理 9 家行业标杆案例与 6 类评审共性问题（预算/实际倒挂红线、合格率口径歧义、考核指标需实时溯源等），为产业政策研究与企业诊断提供依据</w:t>
      </w:r>
    </w:p>
    <w:p>
      <w:pPr>
        <w:spacing w:after="0"/>
      </w:pPr>
      <w:r>
        <w:rPr>
          <w:b/>
          <w:sz w:val="21"/>
        </w:rPr>
        <w:t>经济文明推演引擎 · 复杂社会经济系统因果识别与情景推演平台（政策评估 / 宏观研究）</w:t>
      </w:r>
    </w:p>
    <w:p>
      <w:pPr>
        <w:spacing w:after="20"/>
      </w:pPr>
      <w:r>
        <w:rPr>
          <w:color w:val="888888"/>
          <w:sz w:val="18"/>
        </w:rPr>
        <w:t>2026.07 – 至今</w:t>
      </w:r>
    </w:p>
    <w:p>
      <w:pPr>
        <w:spacing w:after="20" w:line="264" w:lineRule="auto"/>
      </w:pPr>
      <w:r>
        <w:rPr>
          <w:b/>
          <w:color w:val="888888"/>
          <w:sz w:val="19"/>
        </w:rPr>
        <w:t xml:space="preserve">· </w:t>
      </w:r>
      <w:r>
        <w:rPr>
          <w:sz w:val="19"/>
        </w:rPr>
        <w:t>研究定位：将「识别→估计→传导→推演→验证」串成可复用研究链路，服务于政策效应评估与情景研判</w:t>
      </w:r>
    </w:p>
    <w:p>
      <w:pPr>
        <w:spacing w:after="20" w:line="264" w:lineRule="auto"/>
      </w:pPr>
      <w:r>
        <w:rPr>
          <w:b/>
          <w:color w:val="888888"/>
          <w:sz w:val="19"/>
        </w:rPr>
        <w:t xml:space="preserve">· </w:t>
      </w:r>
      <w:r>
        <w:rPr>
          <w:sz w:val="19"/>
        </w:rPr>
        <w:t>方法框架：构建 7 类识别策略、4 类传导机制、9 类外生冲击与反事实政策库，量化指标均取自 World Bank / 国家统计局等权威数据源，无法核定的以「见原始统计」标注</w:t>
      </w:r>
    </w:p>
    <w:p>
      <w:pPr>
        <w:spacing w:before="60" w:after="20"/>
        <w:pBdr>
          <w:bottom w:val="single" w:sz="6" w:space="2" w:color="2f6b50"/>
        </w:pBdr>
      </w:pPr>
      <w:r>
        <w:rPr>
          <w:b/>
          <w:color w:val="2F6B50"/>
          <w:sz w:val="23"/>
        </w:rPr>
        <w:t>竞赛与科研</w:t>
      </w:r>
    </w:p>
    <w:p>
      <w:pPr>
        <w:spacing w:after="0"/>
      </w:pPr>
      <w:r>
        <w:rPr>
          <w:b/>
          <w:sz w:val="21"/>
        </w:rPr>
        <w:t>数据分析负责人·优秀奖 · 正大杯市场分析与调查大赛</w:t>
      </w:r>
    </w:p>
    <w:p>
      <w:pPr>
        <w:spacing w:after="20"/>
      </w:pPr>
      <w:r>
        <w:rPr>
          <w:color w:val="888888"/>
          <w:sz w:val="18"/>
        </w:rPr>
        <w:t>2024.11 - 2025.03</w:t>
      </w:r>
    </w:p>
    <w:p>
      <w:pPr>
        <w:spacing w:after="20" w:line="264" w:lineRule="auto"/>
      </w:pPr>
      <w:r>
        <w:rPr>
          <w:b/>
          <w:color w:val="888888"/>
          <w:sz w:val="19"/>
        </w:rPr>
        <w:t xml:space="preserve">· </w:t>
      </w:r>
      <w:r>
        <w:rPr>
          <w:sz w:val="19"/>
        </w:rPr>
        <w:t>数据分析：围绕快递网点取件对周边消费的带动效应展开全国调研（n=1,352，有效1,146，覆盖31 省），构建LPM、Logistic、多元线性回归三类计量模型；发现86.98%取件人会附带消费、傍晚时段边际效应最强（系数0.41，p&lt;0.001）、通行时间每增1 级消费优势比提升4.34 倍，据此提出“时间成本分摊”机制并提出分时分层商铺布局建议</w:t>
      </w:r>
    </w:p>
    <w:p>
      <w:pPr>
        <w:spacing w:after="0"/>
      </w:pPr>
      <w:r>
        <w:rPr>
          <w:b/>
          <w:sz w:val="21"/>
        </w:rPr>
        <w:t>个人赛参赛选手·优秀等级 · 上证杯第六届全国高校ETF 知识及理财规划大赛</w:t>
      </w:r>
    </w:p>
    <w:p>
      <w:pPr>
        <w:spacing w:after="20"/>
      </w:pPr>
      <w:r>
        <w:rPr>
          <w:color w:val="888888"/>
          <w:sz w:val="18"/>
        </w:rPr>
        <w:t>2026.06</w:t>
      </w:r>
    </w:p>
    <w:p>
      <w:pPr>
        <w:spacing w:after="20" w:line="264" w:lineRule="auto"/>
      </w:pPr>
      <w:r>
        <w:rPr>
          <w:b/>
          <w:color w:val="888888"/>
          <w:sz w:val="19"/>
        </w:rPr>
        <w:t xml:space="preserve">· </w:t>
      </w:r>
      <w:r>
        <w:rPr>
          <w:sz w:val="19"/>
        </w:rPr>
        <w:t>知识竞赛：80 题仅错6 题，正确率92.5%；模拟投资环节独立完成行情研判与资产配置决策，实现资产净值增长36%</w:t>
      </w:r>
    </w:p>
    <w:p>
      <w:pPr>
        <w:spacing w:before="60" w:after="20"/>
        <w:pBdr>
          <w:bottom w:val="single" w:sz="6" w:space="2" w:color="2f6b50"/>
        </w:pBdr>
      </w:pPr>
      <w:r>
        <w:rPr>
          <w:b/>
          <w:color w:val="2F6B50"/>
          <w:sz w:val="23"/>
        </w:rPr>
        <w:t>志愿服务</w:t>
      </w:r>
    </w:p>
    <w:p>
      <w:pPr>
        <w:spacing w:after="20" w:line="264" w:lineRule="auto"/>
      </w:pPr>
      <w:r>
        <w:rPr>
          <w:b/>
          <w:color w:val="888888"/>
          <w:sz w:val="19"/>
        </w:rPr>
        <w:t xml:space="preserve">· </w:t>
      </w:r>
      <w:r>
        <w:rPr>
          <w:sz w:val="19"/>
        </w:rPr>
        <w:t>2024.10 | 中国工程院工程科学技术研讨会暨中国光电材料大会：嘉宾接待与会议资料分发</w:t>
      </w:r>
    </w:p>
    <w:p>
      <w:pPr>
        <w:spacing w:after="20" w:line="264" w:lineRule="auto"/>
      </w:pPr>
      <w:r>
        <w:rPr>
          <w:b/>
          <w:color w:val="888888"/>
          <w:sz w:val="19"/>
        </w:rPr>
        <w:t xml:space="preserve">· </w:t>
      </w:r>
      <w:r>
        <w:rPr>
          <w:sz w:val="19"/>
        </w:rPr>
        <w:t>2024.11 | 首届中国自贸战略论坛暨华东师范大学中国自贸战略研究院成立大会：会场组织与嘉宾引导</w:t>
      </w:r>
    </w:p>
    <w:p>
      <w:pPr>
        <w:spacing w:before="60" w:after="20"/>
        <w:pBdr>
          <w:bottom w:val="single" w:sz="6" w:space="2" w:color="2f6b50"/>
        </w:pBdr>
      </w:pPr>
      <w:r>
        <w:rPr>
          <w:b/>
          <w:color w:val="2F6B50"/>
          <w:sz w:val="23"/>
        </w:rPr>
        <w:t>专业技能</w:t>
      </w:r>
    </w:p>
    <w:p>
      <w:pPr>
        <w:spacing w:after="20" w:line="264" w:lineRule="auto"/>
      </w:pPr>
      <w:r>
        <w:rPr>
          <w:b/>
          <w:color w:val="888888"/>
          <w:sz w:val="19"/>
        </w:rPr>
        <w:t xml:space="preserve">· </w:t>
      </w:r>
      <w:r>
        <w:rPr>
          <w:sz w:val="19"/>
        </w:rPr>
        <w:t>公文与调研：公文写作 / 调研报告撰写 / 台账管理 / 会议组织</w:t>
      </w:r>
    </w:p>
    <w:p>
      <w:pPr>
        <w:spacing w:after="20" w:line="264" w:lineRule="auto"/>
      </w:pPr>
      <w:r>
        <w:rPr>
          <w:b/>
          <w:color w:val="888888"/>
          <w:sz w:val="19"/>
        </w:rPr>
        <w:t xml:space="preserve">· </w:t>
      </w:r>
      <w:r>
        <w:rPr>
          <w:sz w:val="19"/>
        </w:rPr>
        <w:t>数据分析：SPSS / Stata / Excel（数据透视表、Power Query）/ 问卷设计与统计分析</w:t>
      </w:r>
    </w:p>
    <w:p>
      <w:pPr>
        <w:spacing w:after="20" w:line="264" w:lineRule="auto"/>
      </w:pPr>
      <w:r>
        <w:rPr>
          <w:b/>
          <w:color w:val="888888"/>
          <w:sz w:val="19"/>
        </w:rPr>
        <w:t xml:space="preserve">· </w:t>
      </w:r>
      <w:r>
        <w:rPr>
          <w:sz w:val="19"/>
        </w:rPr>
        <w:t>办公应用：MS Office</w:t>
      </w:r>
    </w:p>
    <w:p>
      <w:pPr>
        <w:spacing w:after="20" w:line="264" w:lineRule="auto"/>
      </w:pPr>
      <w:r>
        <w:rPr>
          <w:b/>
          <w:color w:val="888888"/>
          <w:sz w:val="19"/>
        </w:rPr>
        <w:t xml:space="preserve">· </w:t>
      </w:r>
      <w:r>
        <w:rPr>
          <w:sz w:val="19"/>
        </w:rPr>
        <w:t>证书：银行从业 / 基金从业 / 初级会计 / C1 驾驶证</w:t>
      </w:r>
    </w:p>
    <w:p>
      <w:pPr>
        <w:spacing w:before="60" w:after="20"/>
        <w:pBdr>
          <w:bottom w:val="single" w:sz="6" w:space="2" w:color="2f6b50"/>
        </w:pBdr>
      </w:pPr>
      <w:r>
        <w:rPr>
          <w:b/>
          <w:color w:val="2F6B50"/>
          <w:sz w:val="23"/>
        </w:rPr>
        <w:t>荣誉证书</w:t>
      </w:r>
    </w:p>
    <w:p>
      <w:pPr>
        <w:spacing w:after="20" w:line="264" w:lineRule="auto"/>
      </w:pPr>
      <w:r>
        <w:rPr>
          <w:b/>
          <w:color w:val="888888"/>
          <w:sz w:val="19"/>
        </w:rPr>
        <w:t xml:space="preserve">· </w:t>
      </w:r>
      <w:r>
        <w:rPr>
          <w:sz w:val="19"/>
        </w:rPr>
        <w:t>基金从业资格证  · 银行从业资格证  · 初级会计职称  · CET-6  · 正大杯市场调查大赛优秀奖  · 上证杯ETF 知识竞赛优秀  · 全国大学生数学建模竞赛省级二等奖  · C1 驾驶证</w:t>
      </w:r>
    </w:p>
    <w:p>
      <w:pPr>
        <w:spacing w:before="60" w:after="20"/>
        <w:pBdr>
          <w:bottom w:val="single" w:sz="6" w:space="2" w:color="2f6b50"/>
        </w:pBdr>
      </w:pPr>
      <w:r>
        <w:rPr>
          <w:b/>
          <w:color w:val="2F6B50"/>
          <w:sz w:val="23"/>
        </w:rPr>
        <w:t>自我评价</w:t>
      </w:r>
    </w:p>
    <w:p>
      <w:pPr>
        <w:spacing w:after="20" w:line="264" w:lineRule="auto"/>
      </w:pPr>
      <w:r>
        <w:rPr>
          <w:sz w:val="19"/>
        </w:rPr>
        <w:t>经济学本科，共青团员，云南红河籍；在上海市经信委参与 20+ 场项目评审与 3 篇产业调研报告撰写，两段基层实践（屏边县团县委 / 农业农村局）均获优秀鉴定。熟悉政策调研、公文写作与台账管理，具备扎实的经济分析功底与吃苦耐劳、扎根基层的意愿，愿长期服务云南地方发展。</w:t>
      </w:r>
    </w:p>
    <w:sectPr w:rsidR="00FC693F" w:rsidRPr="0006063C" w:rsidSect="00034616">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wzx11223344" TargetMode="External"/><Relationship Id="rId12" Type="http://schemas.openxmlformats.org/officeDocument/2006/relationships/hyperlink" Target="https://wzx11223344.github.io/portfolio-demo/positions/xuandiao.html" TargetMode="External"/><Relationship Id="rId13" Type="http://schemas.openxmlformats.org/officeDocument/2006/relationships/hyperlink" Target="https://github.com/wzx11223344/financial-statement-analyzer" TargetMode="External"/><Relationship Id="rId14" Type="http://schemas.openxmlformats.org/officeDocument/2006/relationships/hyperlink" Target="https://github.com/wzx11223344/fund-analysis" TargetMode="External"/><Relationship Id="rId15" Type="http://schemas.openxmlformats.org/officeDocument/2006/relationships/hyperlink" Target="https://github.com/wzx11223344/quantlab" TargetMode="External"/><Relationship Id="rId16" Type="http://schemas.openxmlformats.org/officeDocument/2006/relationships/hyperlink" Target="https://github.com/wzx11223344/china-econ-pulse" TargetMode="External"/><Relationship Id="rId17" Type="http://schemas.openxmlformats.org/officeDocument/2006/relationships/hyperlink" Target="https://github.com/wzx11223344/mcp-financial-data" TargetMode="External"/><Relationship Id="rId18" Type="http://schemas.openxmlformats.org/officeDocument/2006/relationships/hyperlink" Target="https://github.com/wzx11223344/express-consum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