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000"/>
        <w:gridCol w:w="6606"/>
        <w:gridCol w:w="1600"/>
      </w:tblGrid>
      <w:tr>
        <w:tc>
          <w:tcPr>
            <w:tcW w:type="dxa" w:w="2000"/>
          </w:tcPr>
          <w:p>
            <w:r>
              <w:drawing>
                <wp:inline xmlns:a="http://schemas.openxmlformats.org/drawingml/2006/main" xmlns:pic="http://schemas.openxmlformats.org/drawingml/2006/picture">
                  <wp:extent cx="900000" cy="1260000"/>
                  <wp:docPr id="1" name="Picture 1"/>
                  <wp:cNvGraphicFramePr>
                    <a:graphicFrameLocks noChangeAspect="1"/>
                  </wp:cNvGraphicFramePr>
                  <a:graphic>
                    <a:graphicData uri="http://schemas.openxmlformats.org/drawingml/2006/picture">
                      <pic:pic>
                        <pic:nvPicPr>
                          <pic:cNvPr id="0" name="photo.png"/>
                          <pic:cNvPicPr/>
                        </pic:nvPicPr>
                        <pic:blipFill>
                          <a:blip r:embed="rId9"/>
                          <a:stretch>
                            <a:fillRect/>
                          </a:stretch>
                        </pic:blipFill>
                        <pic:spPr>
                          <a:xfrm>
                            <a:off x="0" y="0"/>
                            <a:ext cx="900000" cy="1260000"/>
                          </a:xfrm>
                          <a:prstGeom prst="rect"/>
                        </pic:spPr>
                      </pic:pic>
                    </a:graphicData>
                  </a:graphic>
                </wp:inline>
              </w:drawing>
            </w:r>
          </w:p>
        </w:tc>
        <w:tc>
          <w:tcPr>
            <w:tcW w:type="dxa" w:w="6606"/>
          </w:tcPr>
          <w:p>
            <w:r>
              <w:rPr>
                <w:b/>
                <w:color w:val="6D5088"/>
                <w:sz w:val="36"/>
              </w:rPr>
              <w:t>万值翔</w:t>
            </w:r>
          </w:p>
          <w:p>
            <w:r>
              <w:rPr>
                <w:color w:val="555555"/>
                <w:sz w:val="19"/>
              </w:rPr>
              <w:t>经济学本科· 2027 届· 共青团员</w:t>
            </w:r>
          </w:p>
          <w:p>
            <w:r>
              <w:rPr>
                <w:color w:val="666666"/>
                <w:sz w:val="19"/>
              </w:rPr>
              <w:t>政治面貌：共青团员 | 籍贯：云南省红河州</w:t>
            </w:r>
          </w:p>
          <w:p>
            <w:r>
              <w:rPr>
                <w:color w:val="666666"/>
                <w:sz w:val="19"/>
              </w:rPr>
              <w:t>电话：13388736755</w:t>
            </w:r>
            <w:r>
              <w:t xml:space="preserve">   </w:t>
            </w:r>
            <w:r>
              <w:rPr>
                <w:color w:val="666666"/>
                <w:sz w:val="19"/>
              </w:rPr>
              <w:t>邮箱：13388736755@163.com</w:t>
            </w:r>
            <w:r>
              <w:t xml:space="preserve">   </w:t>
            </w:r>
            <w:r>
              <w:rPr>
                <w:color w:val="666666"/>
                <w:sz w:val="19"/>
              </w:rPr>
              <w:t>GitHub：</w:t>
            </w:r>
            <w:hyperlink r:id="rId11">
              <w:r>
                <w:rPr>
                  <w:color w:val="6D5088"/>
                  <w:sz w:val="19"/>
                </w:rPr>
                <w:t>github.com/wzx11223344</w:t>
              </w:r>
            </w:hyperlink>
            <w:r>
              <w:t xml:space="preserve">   </w:t>
            </w:r>
            <w:r>
              <w:rPr>
                <w:color w:val="666666"/>
                <w:sz w:val="19"/>
              </w:rPr>
              <w:t>作品集：</w:t>
            </w:r>
            <w:hyperlink r:id="rId12">
              <w:r>
                <w:rPr>
                  <w:color w:val="6D5088"/>
                  <w:sz w:val="19"/>
                </w:rPr>
                <w:t>wzx11223344.github.io/portfolio-demo/positions/hr.html</w:t>
              </w:r>
            </w:hyperlink>
          </w:p>
        </w:tc>
        <w:tc>
          <w:tcPr>
            <w:tcW w:type="dxa" w:w="1600"/>
          </w:tcPr>
          <w:p>
            <w:pPr>
              <w:jc w:val="center"/>
            </w:pPr>
            <w:r>
              <w:drawing>
                <wp:inline xmlns:a="http://schemas.openxmlformats.org/drawingml/2006/main" xmlns:pic="http://schemas.openxmlformats.org/drawingml/2006/picture">
                  <wp:extent cx="72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20000" cy="720000"/>
                          </a:xfrm>
                          <a:prstGeom prst="rect"/>
                        </pic:spPr>
                      </pic:pic>
                    </a:graphicData>
                  </a:graphic>
                </wp:inline>
              </w:drawing>
            </w:r>
          </w:p>
          <w:p>
            <w:pPr>
              <w:jc w:val="center"/>
            </w:pPr>
            <w:r>
              <w:rPr>
                <w:color w:val="888888"/>
                <w:sz w:val="15"/>
              </w:rPr>
              <w:t>扫码看作品集</w:t>
            </w:r>
          </w:p>
        </w:tc>
      </w:tr>
    </w:tbl>
    <w:p>
      <w:pPr>
        <w:spacing w:after="40"/>
        <w:jc w:val="left"/>
      </w:pPr>
      <w:r>
        <w:rPr>
          <w:color w:val="444444"/>
          <w:sz w:val="19"/>
        </w:rPr>
        <w:t>意向行业：企业人力资源/人事行政 ｜ 目标岗位：人力资源专员/招聘/培训/绩效/HRBP 助理 ｜ 意向城市：上海/ 云南 ｜ 薪资：面议 ｜ 教育：华东师范大学·经济学本科（前30%）</w:t>
      </w:r>
    </w:p>
    <w:p>
      <w:pPr>
        <w:spacing w:before="60" w:after="20"/>
        <w:pBdr>
          <w:bottom w:val="single" w:sz="6" w:space="2" w:color="6d5088"/>
        </w:pBdr>
      </w:pPr>
      <w:r>
        <w:rPr>
          <w:b/>
          <w:color w:val="6D5088"/>
          <w:sz w:val="23"/>
        </w:rPr>
        <w:t>实习经历</w:t>
      </w:r>
    </w:p>
    <w:p>
      <w:pPr>
        <w:spacing w:after="0"/>
      </w:pPr>
      <w:r>
        <w:rPr>
          <w:b/>
          <w:sz w:val="21"/>
        </w:rPr>
        <w:t>会计实习生 · 上海沪中会计师事务所</w:t>
      </w:r>
    </w:p>
    <w:p>
      <w:pPr>
        <w:spacing w:after="20"/>
      </w:pPr>
      <w:r>
        <w:rPr>
          <w:color w:val="888888"/>
          <w:sz w:val="18"/>
        </w:rPr>
        <w:t>2026.09 - 2026.12</w:t>
      </w:r>
    </w:p>
    <w:p>
      <w:pPr>
        <w:spacing w:after="20" w:line="264" w:lineRule="auto"/>
      </w:pPr>
      <w:r>
        <w:rPr>
          <w:b/>
          <w:color w:val="888888"/>
          <w:sz w:val="19"/>
        </w:rPr>
        <w:t xml:space="preserve">· </w:t>
      </w:r>
      <w:r>
        <w:rPr>
          <w:sz w:val="19"/>
        </w:rPr>
        <w:t>审计程序：参与企业年度审计及专项审计项目，负责货币资金、往来款项等科目的实质性程序，完成凭证抽查、银行函证、余额核对及底稿编制</w:t>
      </w:r>
    </w:p>
    <w:p>
      <w:pPr>
        <w:spacing w:after="20" w:line="264" w:lineRule="auto"/>
      </w:pPr>
      <w:r>
        <w:rPr>
          <w:b/>
          <w:color w:val="888888"/>
          <w:sz w:val="19"/>
        </w:rPr>
        <w:t xml:space="preserve">· </w:t>
      </w:r>
      <w:r>
        <w:rPr>
          <w:sz w:val="19"/>
        </w:rPr>
        <w:t>合规审查：负责企业项目申报材料的合规性审查，核对合同、发票、验收材料与账务记录的一致性，识别并纠正材料与账面不符的问题，推动企业补充完善支撑材料</w:t>
      </w:r>
    </w:p>
    <w:p>
      <w:pPr>
        <w:spacing w:after="20" w:line="264" w:lineRule="auto"/>
      </w:pPr>
      <w:r>
        <w:rPr>
          <w:b/>
          <w:color w:val="888888"/>
          <w:sz w:val="19"/>
        </w:rPr>
        <w:t xml:space="preserve">· </w:t>
      </w:r>
      <w:r>
        <w:rPr>
          <w:sz w:val="19"/>
        </w:rPr>
        <w:t>底稿归档：协助项目经理执行审计调整与试算平衡，按审计准则归档工作底稿，确保项目按期出具审计报告</w:t>
      </w:r>
    </w:p>
    <w:p>
      <w:pPr>
        <w:spacing w:after="0"/>
      </w:pPr>
      <w:r>
        <w:rPr>
          <w:b/>
          <w:sz w:val="21"/>
        </w:rPr>
        <w:t>产业调研与项目评估 · 上海市经济和信息化委员会</w:t>
      </w:r>
    </w:p>
    <w:p>
      <w:pPr>
        <w:spacing w:after="20"/>
      </w:pPr>
      <w:r>
        <w:rPr>
          <w:color w:val="888888"/>
          <w:sz w:val="18"/>
        </w:rPr>
        <w:t>2026.03 - 2026.07</w:t>
      </w:r>
    </w:p>
    <w:p>
      <w:pPr>
        <w:spacing w:after="20" w:line="264" w:lineRule="auto"/>
      </w:pPr>
      <w:r>
        <w:rPr>
          <w:b/>
          <w:color w:val="888888"/>
          <w:sz w:val="19"/>
        </w:rPr>
        <w:t xml:space="preserve">· </w:t>
      </w:r>
      <w:r>
        <w:rPr>
          <w:sz w:val="19"/>
        </w:rPr>
        <w:t>组织协调：参与 20+ 场智能制造项目评审会务的组织与协调，对接企业与多部门，梳理申报材料完整性，优化审核清单后项目通过率提升至 95%</w:t>
      </w:r>
    </w:p>
    <w:p>
      <w:pPr>
        <w:spacing w:after="20" w:line="264" w:lineRule="auto"/>
      </w:pPr>
      <w:r>
        <w:rPr>
          <w:b/>
          <w:color w:val="888888"/>
          <w:sz w:val="19"/>
        </w:rPr>
        <w:t xml:space="preserve">· </w:t>
      </w:r>
      <w:r>
        <w:rPr>
          <w:sz w:val="19"/>
        </w:rPr>
        <w:t>沟通调研：实地走访 15+ 家企业开展访谈调研，撰写 3 篇调研报告，锻炼跨层级沟通、信息归纳与需求对接能力</w:t>
      </w:r>
    </w:p>
    <w:p>
      <w:pPr>
        <w:spacing w:after="0"/>
      </w:pPr>
      <w:r>
        <w:rPr>
          <w:b/>
          <w:sz w:val="21"/>
        </w:rPr>
        <w:t>人力资源实习生（含客户经理轮岗/ 寒假实践） · 中国联通（上海）公司</w:t>
      </w:r>
    </w:p>
    <w:p>
      <w:pPr>
        <w:spacing w:after="20"/>
      </w:pPr>
      <w:r>
        <w:rPr>
          <w:color w:val="888888"/>
          <w:sz w:val="18"/>
        </w:rPr>
        <w:t>2026.01 - 2026.02</w:t>
      </w:r>
    </w:p>
    <w:p>
      <w:pPr>
        <w:spacing w:after="20" w:line="264" w:lineRule="auto"/>
      </w:pPr>
      <w:r>
        <w:rPr>
          <w:b/>
          <w:color w:val="888888"/>
          <w:sz w:val="19"/>
        </w:rPr>
        <w:t xml:space="preserve">· </w:t>
      </w:r>
      <w:r>
        <w:rPr>
          <w:sz w:val="19"/>
        </w:rPr>
        <w:t>培训管理：负责企业新型学徒制培训项目全流程事务管理，覆盖 7 个培养班级、21 个部门 3,500+ 条员工积点数据，建立培训台账并统筹跨部门协调，参与员工培训组织与人事事务办理</w:t>
      </w:r>
    </w:p>
    <w:p>
      <w:pPr>
        <w:spacing w:after="20" w:line="264" w:lineRule="auto"/>
      </w:pPr>
      <w:r>
        <w:rPr>
          <w:b/>
          <w:color w:val="888888"/>
          <w:sz w:val="19"/>
        </w:rPr>
        <w:t xml:space="preserve">· </w:t>
      </w:r>
      <w:r>
        <w:rPr>
          <w:sz w:val="19"/>
        </w:rPr>
        <w:t>绩效规范：发现各部门试用期考核评分标准不一致的系统性问题，主动梳理并协助制定统一考核评分规范，提升绩效评价的一致性与公平性</w:t>
      </w:r>
    </w:p>
    <w:p>
      <w:pPr>
        <w:spacing w:after="0"/>
      </w:pPr>
      <w:r>
        <w:rPr>
          <w:b/>
          <w:sz w:val="21"/>
        </w:rPr>
        <w:t>证券分析师助理 · 国盛证券股份有限公司</w:t>
      </w:r>
    </w:p>
    <w:p>
      <w:pPr>
        <w:spacing w:after="20"/>
      </w:pPr>
      <w:r>
        <w:rPr>
          <w:color w:val="888888"/>
          <w:sz w:val="18"/>
        </w:rPr>
        <w:t>2025.08 - 2025.12</w:t>
      </w:r>
    </w:p>
    <w:p>
      <w:pPr>
        <w:spacing w:after="20" w:line="264" w:lineRule="auto"/>
      </w:pPr>
      <w:r>
        <w:rPr>
          <w:b/>
          <w:color w:val="888888"/>
          <w:sz w:val="19"/>
        </w:rPr>
        <w:t xml:space="preserve">· </w:t>
      </w:r>
      <w:r>
        <w:rPr>
          <w:sz w:val="19"/>
        </w:rPr>
        <w:t>数据分析：独立完成 3 份行业深度报告并搭建门店经营数据动态监测系统（Excel Power Query + 数据透视表），具备将数据转化为管理洞察的能力，可迁移至人力数据分析与人才盘点</w:t>
      </w:r>
    </w:p>
    <w:p>
      <w:pPr>
        <w:spacing w:after="0"/>
      </w:pPr>
      <w:r>
        <w:rPr>
          <w:b/>
          <w:sz w:val="21"/>
        </w:rPr>
        <w:t>行政助理·实习教师（寒暑假期实践） · 农业农村局/ 红河州高中/ 屏边县团县委</w:t>
      </w:r>
    </w:p>
    <w:p>
      <w:pPr>
        <w:spacing w:after="20"/>
      </w:pPr>
      <w:r>
        <w:rPr>
          <w:color w:val="888888"/>
          <w:sz w:val="18"/>
        </w:rPr>
        <w:t>2024.01-02 / 2024.07-08 / 2025.07-08</w:t>
      </w:r>
    </w:p>
    <w:p>
      <w:pPr>
        <w:spacing w:after="20" w:line="264" w:lineRule="auto"/>
      </w:pPr>
      <w:r>
        <w:rPr>
          <w:b/>
          <w:color w:val="888888"/>
          <w:sz w:val="19"/>
        </w:rPr>
        <w:t xml:space="preserve">· </w:t>
      </w:r>
      <w:r>
        <w:rPr>
          <w:sz w:val="19"/>
        </w:rPr>
        <w:t>综合实践：参与西部计划宣讲会筹备与组织、政府公文收发登记与台账管理，承担高三教学辅助工作，均获实习鉴定优秀评价，体现较强的组织协调与沟通能力</w:t>
      </w:r>
    </w:p>
    <w:p>
      <w:pPr>
        <w:spacing w:before="60" w:after="20"/>
        <w:pBdr>
          <w:bottom w:val="single" w:sz="6" w:space="2" w:color="2f6b50"/>
        </w:pBdr>
      </w:pPr>
      <w:r>
        <w:rPr>
          <w:b/>
          <w:color w:val="2F6B50"/>
          <w:sz w:val="23"/>
        </w:rPr>
        <w:t>项目经历</w:t>
      </w:r>
    </w:p>
    <w:p>
      <w:pPr>
        <w:spacing w:after="0"/>
      </w:pPr>
      <w:r>
        <w:rPr>
          <w:b/>
          <w:sz w:val="21"/>
        </w:rPr>
        <w:t>智能工厂能级提升 · 全流程可观测与指挥平台（数据产品 / 产业研究）</w:t>
      </w:r>
    </w:p>
    <w:p>
      <w:pPr>
        <w:spacing w:after="20"/>
      </w:pPr>
      <w:r>
        <w:rPr>
          <w:color w:val="888888"/>
          <w:sz w:val="18"/>
        </w:rPr>
        <w:t>2026.07 – 至今</w:t>
      </w:r>
    </w:p>
    <w:p>
      <w:pPr>
        <w:spacing w:after="20" w:line="264" w:lineRule="auto"/>
      </w:pPr>
      <w:r>
        <w:rPr>
          <w:b/>
          <w:color w:val="888888"/>
          <w:sz w:val="19"/>
        </w:rPr>
        <w:t xml:space="preserve">· </w:t>
      </w:r>
      <w:r>
        <w:rPr>
          <w:sz w:val="19"/>
        </w:rPr>
        <w:t>平台构建：围绕 2026 版《智能工厂梯度培育要素条件》与制造业智能化专项资金评审逻辑，构建「全流程可观测指挥平台」——大屏看板（10 屏：总控驾驶舱 / 设备 OEE / 质量一次合格 / 生产进度·订单 / 物流·物料 / 能耗·安环 / 人员·班组 / 异常 Andon / 数字孪生平面图 / 视频监控），并整合「申报—诊断—建设—验收—整改」五阶段可交互「全链路表」。</w:t>
      </w:r>
    </w:p>
    <w:p>
      <w:pPr>
        <w:spacing w:after="20" w:line="264" w:lineRule="auto"/>
      </w:pPr>
      <w:r>
        <w:rPr>
          <w:b/>
          <w:color w:val="888888"/>
          <w:sz w:val="19"/>
        </w:rPr>
        <w:t xml:space="preserve">· </w:t>
      </w:r>
      <w:r>
        <w:rPr>
          <w:sz w:val="19"/>
        </w:rPr>
        <w:t>技术实现：前端原生 HTML/CSS/JS 单页应用，后端 MES 适配器（mes_adapter.py + integration.json + server.py）对接生产数据，集成 RTSP 视频监控网关与数字孪生产线平面图；结构化数据底座含 TIERS 4 级能级梯度 / AREAS 5 大建设环节 / KPI_REF 22 项绩效指标 / CHAIN 5 阶段流程 / CASES 9 行业标杆 / ISSUES 6 类评审共性问题，量化指标均取自会议材料原文，无法核定的以「见审计报告」标注。</w:t>
      </w:r>
    </w:p>
    <w:p>
      <w:pPr>
        <w:spacing w:after="20" w:line="264" w:lineRule="auto"/>
      </w:pPr>
      <w:r>
        <w:rPr>
          <w:b/>
          <w:color w:val="888888"/>
          <w:sz w:val="19"/>
        </w:rPr>
        <w:t xml:space="preserve">· </w:t>
      </w:r>
      <w:r>
        <w:rPr>
          <w:sz w:val="19"/>
        </w:rPr>
        <w:t>运行机制：以「梯度培育要素条件 + 五大环节 + 22 项 KPI」为框架，实现能级梯度对比、全链路流程导航、企业案例库检索（和元生物 / hiFleet / 某车企 / 中船动力等 9 家），支持按梯度 / 行业 / 环节多维筛选，输出可复用诊断结论。</w:t>
      </w:r>
    </w:p>
    <w:p>
      <w:pPr>
        <w:spacing w:after="20" w:line="264" w:lineRule="auto"/>
      </w:pPr>
      <w:r>
        <w:rPr>
          <w:b/>
          <w:color w:val="888888"/>
          <w:sz w:val="19"/>
        </w:rPr>
        <w:t xml:space="preserve">· </w:t>
      </w:r>
      <w:r>
        <w:rPr>
          <w:sz w:val="19"/>
        </w:rPr>
        <w:t>评审洞察：沉淀跨案例共性问题——预算/实际倒挂 20% 红线、一次合格率 vs 返修后合格率口径歧义、考核指标需 M 系统实时采集溯源等，形成智能工厂能级提升方法论与决策参考，已发布开源仓库并部署 GitHub Pages / CloudStudio 在线演示。</w:t>
      </w:r>
    </w:p>
    <w:p>
      <w:pPr>
        <w:spacing w:after="20" w:line="264" w:lineRule="auto"/>
      </w:pPr>
      <w:r>
        <w:rPr>
          <w:b/>
          <w:color w:val="888888"/>
          <w:sz w:val="19"/>
        </w:rPr>
        <w:t xml:space="preserve">· </w:t>
      </w:r>
      <w:r>
        <w:rPr>
          <w:sz w:val="19"/>
        </w:rPr>
        <w:t>项目地址（3 个真实可访问）：GitHub 仓库 github.com/wzx11223344/smart-factory-dashboard ｜ 在线演示 wzx11223344.github.io/smart-factory-dashboard/ ｜ CloudStudio 一键部署 https://9b4a9004620c4d2b99481077cf6f4a94.gz5.agentos-app.net</w:t>
      </w:r>
    </w:p>
    <w:p>
      <w:pPr>
        <w:spacing w:after="0"/>
      </w:pPr>
      <w:r>
        <w:rPr>
          <w:b/>
          <w:sz w:val="21"/>
        </w:rPr>
        <w:t>经济文明推演引擎 · 复杂社会经济系统因果识别与情景推演平台（研究产品 / 宏观量化）</w:t>
      </w:r>
    </w:p>
    <w:p>
      <w:pPr>
        <w:spacing w:after="20"/>
      </w:pPr>
      <w:r>
        <w:rPr>
          <w:color w:val="888888"/>
          <w:sz w:val="18"/>
        </w:rPr>
        <w:t>2026.07 – 至今</w:t>
      </w:r>
    </w:p>
    <w:p>
      <w:pPr>
        <w:spacing w:after="20" w:line="264" w:lineRule="auto"/>
      </w:pPr>
      <w:r>
        <w:rPr>
          <w:b/>
          <w:color w:val="888888"/>
          <w:sz w:val="19"/>
        </w:rPr>
        <w:t xml:space="preserve">· </w:t>
      </w:r>
      <w:r>
        <w:rPr>
          <w:sz w:val="19"/>
        </w:rPr>
        <w:t>项目定位：面向「复杂经济系统可计算化」的宏观经济研究沙盘——以因果推断为内核，将「识别→估计→传导→推演→验证」串成可复用研究链路，服务于政策效应评估与情景研判。</w:t>
      </w:r>
    </w:p>
    <w:p>
      <w:pPr>
        <w:spacing w:after="20" w:line="264" w:lineRule="auto"/>
      </w:pPr>
      <w:r>
        <w:rPr>
          <w:b/>
          <w:color w:val="888888"/>
          <w:sz w:val="19"/>
        </w:rPr>
        <w:t xml:space="preserve">· </w:t>
      </w:r>
      <w:r>
        <w:rPr>
          <w:sz w:val="19"/>
        </w:rPr>
        <w:t>平台构建：围绕“复杂经济系统的可计算化与可推演化”，构建「经济文明推演引擎」——可交互研究沙盘（6 屏：因果图谱 / 政策冲击反事实 / 产业传导网络 / 区域韧性监测 / 情景推演 / 知识引擎），并整合「识别—估计—传导—推演—验证」五阶段可交互「研究全链路表」。</w:t>
      </w:r>
    </w:p>
    <w:p>
      <w:pPr>
        <w:spacing w:after="20" w:line="264" w:lineRule="auto"/>
      </w:pPr>
      <w:r>
        <w:rPr>
          <w:b/>
          <w:color w:val="888888"/>
          <w:sz w:val="19"/>
        </w:rPr>
        <w:t xml:space="preserve">· </w:t>
      </w:r>
      <w:r>
        <w:rPr>
          <w:sz w:val="19"/>
        </w:rPr>
        <w:t>技术实现：前端原生 HTML/CSS/JS 单页应用，后端宏观数据适配器（macro_adapter.py + ontology.json + server.py）对接多源宏观数据（WB / FRED / 国家统计局 / Wind / CEIC），集成计量—因果混合引擎（pyconometrics + causal-inference-ml）；结构化数据底座含 CAUSES 7 类识别策略 / CHANNELS 4 类传导机制 / SHOCKS 9 类外生冲击 / INDICATORS 三级指标体系 / POLICIES 反事实政策库 / LITERATURE 方法论库，量化指标均取自权威数据源，无法核定的以「见原始统计」标注。</w:t>
      </w:r>
    </w:p>
    <w:p>
      <w:pPr>
        <w:spacing w:after="20" w:line="264" w:lineRule="auto"/>
      </w:pPr>
      <w:r>
        <w:rPr>
          <w:b/>
          <w:color w:val="888888"/>
          <w:sz w:val="19"/>
        </w:rPr>
        <w:t xml:space="preserve">· </w:t>
      </w:r>
      <w:r>
        <w:rPr>
          <w:sz w:val="19"/>
        </w:rPr>
        <w:t>运行机制：以「因果识别 + 系统传导 + 情景推演」为框架，实现政策效应反事实估计、产业冲击传导仿真、区域韧性动态监测，支持按区域 / 行业 / 政策类型多维筛选，输出可复用的研究结论与政策备忘录。</w:t>
      </w:r>
    </w:p>
    <w:p>
      <w:pPr>
        <w:spacing w:after="20" w:line="264" w:lineRule="auto"/>
      </w:pPr>
      <w:r>
        <w:rPr>
          <w:b/>
          <w:color w:val="888888"/>
          <w:sz w:val="19"/>
        </w:rPr>
        <w:t xml:space="preserve">· </w:t>
      </w:r>
      <w:r>
        <w:rPr>
          <w:sz w:val="19"/>
        </w:rPr>
        <w:t>评审洞察：沉淀跨情景共性问题——相关非因果的误判红线、识别策略需外生变异支撑、传导机制的时滞与异质性、政策评估需控制混淆与选择性偏差等，形成「用因果推断解码经济规律」的方法论与决策参考，已发布开源仓库并部署 GitHub Pages 在线演示。</w:t>
      </w:r>
    </w:p>
    <w:p>
      <w:pPr>
        <w:spacing w:after="20" w:line="264" w:lineRule="auto"/>
      </w:pPr>
      <w:r>
        <w:rPr>
          <w:b/>
          <w:color w:val="888888"/>
          <w:sz w:val="19"/>
        </w:rPr>
        <w:t xml:space="preserve">· </w:t>
      </w:r>
      <w:r>
        <w:rPr>
          <w:sz w:val="19"/>
        </w:rPr>
        <w:t>项目地址（2 个真实可访问）：开源仓库 github.com/wzx11223344/econ-civilization-engine ｜ 在线演示 wzx11223344.github.io/econ-civilization-engine/</w:t>
      </w:r>
    </w:p>
    <w:p>
      <w:pPr>
        <w:spacing w:before="60" w:after="20"/>
        <w:pBdr>
          <w:bottom w:val="single" w:sz="6" w:space="2" w:color="6d5088"/>
        </w:pBdr>
      </w:pPr>
      <w:r>
        <w:rPr>
          <w:b/>
          <w:color w:val="6D5088"/>
          <w:sz w:val="23"/>
        </w:rPr>
        <w:t>竞赛与科研</w:t>
      </w:r>
    </w:p>
    <w:p>
      <w:pPr>
        <w:spacing w:after="0"/>
      </w:pPr>
      <w:r>
        <w:rPr>
          <w:b/>
          <w:sz w:val="21"/>
        </w:rPr>
        <w:t>数据分析负责人·优秀奖 · 正大杯市场分析与调查大赛</w:t>
      </w:r>
    </w:p>
    <w:p>
      <w:pPr>
        <w:spacing w:after="20"/>
      </w:pPr>
      <w:r>
        <w:rPr>
          <w:color w:val="888888"/>
          <w:sz w:val="18"/>
        </w:rPr>
        <w:t>2024.11 - 2025.03</w:t>
      </w:r>
    </w:p>
    <w:p>
      <w:pPr>
        <w:spacing w:after="20" w:line="264" w:lineRule="auto"/>
      </w:pPr>
      <w:r>
        <w:rPr>
          <w:b/>
          <w:color w:val="888888"/>
          <w:sz w:val="19"/>
        </w:rPr>
        <w:t xml:space="preserve">· </w:t>
      </w:r>
      <w:r>
        <w:rPr>
          <w:sz w:val="19"/>
        </w:rPr>
        <w:t>数据分析：围绕快递网点取件对周边消费的带动效应展开全国调研（n=1,352，有效1,146，覆盖31 省），构建LPM、Logistic、多元线性回归三类计量模型；发现86.98%取件人会附带消费、傍晚时段边际效应最强（系数0.41，p&lt;0.001）、通行时间每增1 级消费优势比提升4.34 倍，据此提出“时间成本分摊”机制并提出分时分层商铺布局建议</w:t>
      </w:r>
    </w:p>
    <w:p>
      <w:pPr>
        <w:spacing w:before="60" w:after="20"/>
        <w:pBdr>
          <w:bottom w:val="single" w:sz="6" w:space="2" w:color="6d5088"/>
        </w:pBdr>
      </w:pPr>
      <w:r>
        <w:rPr>
          <w:b/>
          <w:color w:val="6D5088"/>
          <w:sz w:val="23"/>
        </w:rPr>
        <w:t>开源项目</w:t>
      </w:r>
    </w:p>
    <w:p>
      <w:pPr>
        <w:spacing w:after="20" w:line="264" w:lineRule="auto"/>
      </w:pPr>
      <w:r>
        <w:rPr>
          <w:b/>
          <w:color w:val="888888"/>
          <w:sz w:val="19"/>
        </w:rPr>
        <w:t xml:space="preserve">· </w:t>
      </w:r>
      <w:r>
        <w:rPr>
          <w:color w:val="444444"/>
          <w:sz w:val="19"/>
        </w:rPr>
        <w:t>个人 G</w:t>
      </w:r>
      <w:r>
        <w:rPr>
          <w:color w:val="444444"/>
          <w:sz w:val="19"/>
        </w:rPr>
        <w:t>it</w:t>
      </w:r>
      <w:r>
        <w:rPr>
          <w:color w:val="444444"/>
          <w:sz w:val="19"/>
        </w:rPr>
        <w:t>H</w:t>
      </w:r>
      <w:r>
        <w:rPr>
          <w:color w:val="444444"/>
          <w:sz w:val="19"/>
        </w:rPr>
        <w:t>ub</w:t>
      </w:r>
      <w:r>
        <w:rPr>
          <w:color w:val="444444"/>
          <w:sz w:val="19"/>
        </w:rPr>
        <w:t xml:space="preserve"> 开源 100+ 项目（P</w:t>
      </w:r>
      <w:r>
        <w:rPr>
          <w:color w:val="444444"/>
          <w:sz w:val="19"/>
        </w:rPr>
        <w:t>ython</w:t>
      </w:r>
      <w:r>
        <w:rPr>
          <w:color w:val="444444"/>
          <w:sz w:val="19"/>
        </w:rPr>
        <w:t xml:space="preserve"> 为主），侧重数据分析与组织洞察：问卷调查与统计分析（</w:t>
      </w:r>
      <w:hyperlink r:id="rId13">
        <w:r>
          <w:rPr>
            <w:color w:val="2F6B50"/>
            <w:sz w:val="19"/>
          </w:rPr>
          <w:t>express-consumption</w:t>
        </w:r>
      </w:hyperlink>
      <w:r>
        <w:rPr>
          <w:color w:val="444444"/>
          <w:sz w:val="19"/>
        </w:rPr>
        <w:t xml:space="preserve"> 1,352 份问卷）、数据可视化看板（</w:t>
      </w:r>
      <w:hyperlink r:id="rId14">
        <w:r>
          <w:rPr>
            <w:color w:val="2F6B50"/>
            <w:sz w:val="19"/>
          </w:rPr>
          <w:t>econ-dashboard</w:t>
        </w:r>
      </w:hyperlink>
      <w:r>
        <w:rPr>
          <w:color w:val="444444"/>
          <w:sz w:val="19"/>
        </w:rPr>
        <w:t xml:space="preserve"> / </w:t>
      </w:r>
      <w:hyperlink r:id="rId15">
        <w:r>
          <w:rPr>
            <w:color w:val="2F6B50"/>
            <w:sz w:val="19"/>
          </w:rPr>
          <w:t>china-econ-pulse</w:t>
        </w:r>
      </w:hyperlink>
      <w:r>
        <w:rPr>
          <w:color w:val="444444"/>
          <w:sz w:val="19"/>
        </w:rPr>
        <w:t>）、面试与学习辅助工具（</w:t>
      </w:r>
      <w:hyperlink r:id="rId16">
        <w:r>
          <w:rPr>
            <w:color w:val="2F6B50"/>
            <w:sz w:val="19"/>
          </w:rPr>
          <w:t>interview-coach</w:t>
        </w:r>
      </w:hyperlink>
      <w:r>
        <w:rPr>
          <w:color w:val="444444"/>
          <w:sz w:val="19"/>
        </w:rPr>
        <w:t xml:space="preserve"> 面试题库 / </w:t>
      </w:r>
      <w:hyperlink r:id="rId17">
        <w:r>
          <w:rPr>
            <w:color w:val="2F6B50"/>
            <w:sz w:val="19"/>
          </w:rPr>
          <w:t>study-companion</w:t>
        </w:r>
      </w:hyperlink>
      <w:r>
        <w:rPr>
          <w:color w:val="444444"/>
          <w:sz w:val="19"/>
        </w:rPr>
        <w:t>）；具备将统计分析方法应用于员工调研、人才盘点与组织效能分析的能力</w:t>
      </w:r>
    </w:p>
    <w:p>
      <w:pPr>
        <w:spacing w:before="60" w:after="20"/>
        <w:pBdr>
          <w:bottom w:val="single" w:sz="6" w:space="2" w:color="6d5088"/>
        </w:pBdr>
      </w:pPr>
      <w:r>
        <w:rPr>
          <w:b/>
          <w:color w:val="6D5088"/>
          <w:sz w:val="23"/>
        </w:rPr>
        <w:t>专业技能</w:t>
      </w:r>
    </w:p>
    <w:p>
      <w:pPr>
        <w:spacing w:after="20" w:line="264" w:lineRule="auto"/>
      </w:pPr>
      <w:r>
        <w:rPr>
          <w:b/>
          <w:color w:val="888888"/>
          <w:sz w:val="19"/>
        </w:rPr>
        <w:t xml:space="preserve">· </w:t>
      </w:r>
      <w:r>
        <w:rPr>
          <w:sz w:val="19"/>
        </w:rPr>
        <w:t>办公应用：MS Office / 公文写作 / 台账管理</w:t>
      </w:r>
    </w:p>
    <w:p>
      <w:pPr>
        <w:spacing w:after="20" w:line="264" w:lineRule="auto"/>
      </w:pPr>
      <w:r>
        <w:rPr>
          <w:b/>
          <w:color w:val="888888"/>
          <w:sz w:val="19"/>
        </w:rPr>
        <w:t xml:space="preserve">· </w:t>
      </w:r>
      <w:r>
        <w:rPr>
          <w:sz w:val="19"/>
        </w:rPr>
        <w:t>数据分析：SPSS / Stata / Excel（数据透视表、Power Query）/ 问卷设计与统计</w:t>
      </w:r>
    </w:p>
    <w:p>
      <w:pPr>
        <w:spacing w:after="20" w:line="264" w:lineRule="auto"/>
      </w:pPr>
      <w:r>
        <w:rPr>
          <w:b/>
          <w:color w:val="888888"/>
          <w:sz w:val="19"/>
        </w:rPr>
        <w:t xml:space="preserve">· </w:t>
      </w:r>
      <w:r>
        <w:rPr>
          <w:sz w:val="19"/>
        </w:rPr>
        <w:t>人力素养：跨部门沟通协调 / 培训组织 / 绩效考核规范</w:t>
      </w:r>
    </w:p>
    <w:p>
      <w:pPr>
        <w:spacing w:after="20" w:line="264" w:lineRule="auto"/>
      </w:pPr>
      <w:r>
        <w:rPr>
          <w:b/>
          <w:color w:val="888888"/>
          <w:sz w:val="19"/>
        </w:rPr>
        <w:t xml:space="preserve">· </w:t>
      </w:r>
      <w:r>
        <w:rPr>
          <w:sz w:val="19"/>
        </w:rPr>
        <w:t>证书：基金从业 / 银行从业 / 初级会计 / C1 驾驶证</w:t>
      </w:r>
    </w:p>
    <w:p>
      <w:pPr>
        <w:spacing w:before="60" w:after="20"/>
        <w:pBdr>
          <w:bottom w:val="single" w:sz="6" w:space="2" w:color="6d5088"/>
        </w:pBdr>
      </w:pPr>
      <w:r>
        <w:rPr>
          <w:b/>
          <w:color w:val="6D5088"/>
          <w:sz w:val="23"/>
        </w:rPr>
        <w:t>荣誉证书</w:t>
      </w:r>
    </w:p>
    <w:p>
      <w:pPr>
        <w:spacing w:after="40"/>
      </w:pPr>
      <w:r>
        <w:rPr>
          <w:sz w:val="19"/>
        </w:rPr>
        <w:t>· 初级会计职称  · 银行从业资格证  · 基金从业资格证  · CET-6  · 正大杯市场调查大赛优秀奖  · 上证杯ETF 知识竞赛优秀  · 全国大学生数学建模竞赛省级二等奖</w:t>
      </w:r>
    </w:p>
    <w:p>
      <w:pPr>
        <w:spacing w:before="60" w:after="20"/>
        <w:pBdr>
          <w:bottom w:val="single" w:sz="6" w:space="2" w:color="6d5088"/>
        </w:pBdr>
      </w:pPr>
      <w:r>
        <w:rPr>
          <w:b/>
          <w:color w:val="6D5088"/>
          <w:sz w:val="23"/>
        </w:rPr>
        <w:t>志愿服务</w:t>
      </w:r>
    </w:p>
    <w:p>
      <w:pPr>
        <w:spacing w:after="20" w:line="264" w:lineRule="auto"/>
      </w:pPr>
      <w:r>
        <w:rPr>
          <w:b/>
          <w:color w:val="888888"/>
          <w:sz w:val="19"/>
        </w:rPr>
        <w:t xml:space="preserve">· </w:t>
      </w:r>
      <w:r>
        <w:rPr>
          <w:sz w:val="19"/>
        </w:rPr>
        <w:t>2024.10 | 中国工程院工程科学技术研讨会暨中国光电材料大会：嘉宾接待与会议资料分发</w:t>
      </w:r>
    </w:p>
    <w:p>
      <w:pPr>
        <w:spacing w:after="20" w:line="264" w:lineRule="auto"/>
      </w:pPr>
      <w:r>
        <w:rPr>
          <w:b/>
          <w:color w:val="888888"/>
          <w:sz w:val="19"/>
        </w:rPr>
        <w:t xml:space="preserve">· </w:t>
      </w:r>
      <w:r>
        <w:rPr>
          <w:sz w:val="19"/>
        </w:rPr>
        <w:t>2024.11 | 首届中国自贸战略论坛暨华东师范大学中国自贸战略研究院成立大会：会场组织与嘉宾引导</w:t>
      </w:r>
    </w:p>
    <w:p>
      <w:pPr>
        <w:spacing w:before="60" w:after="20"/>
        <w:pBdr>
          <w:bottom w:val="single" w:sz="6" w:space="2" w:color="6d5088"/>
        </w:pBdr>
      </w:pPr>
      <w:r>
        <w:rPr>
          <w:b/>
          <w:color w:val="6D5088"/>
          <w:sz w:val="23"/>
        </w:rPr>
        <w:t>自我评价</w:t>
      </w:r>
    </w:p>
    <w:p>
      <w:pPr>
        <w:spacing w:after="40"/>
      </w:pPr>
      <w:r>
        <w:rPr>
          <w:sz w:val="19"/>
        </w:rPr>
        <w:t>经济学本科，共青团员；于中国联通人力资源岗实习期间统筹企业新型学徒制培训项目，管理 21 个部门 3,500+ 条员工数据并协助规范考核评分标准，具备培训组织、绩效规范与人事数据管理经验。沟通协调能力强、细致稳重，擅长将数据分析应用于人才盘点与组织洞察。</w:t>
      </w:r>
    </w:p>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wzx11223344" TargetMode="External"/><Relationship Id="rId12" Type="http://schemas.openxmlformats.org/officeDocument/2006/relationships/hyperlink" Target="https://wzx11223344.github.io/portfolio-demo/positions/hr.html" TargetMode="External"/><Relationship Id="rId13" Type="http://schemas.openxmlformats.org/officeDocument/2006/relationships/hyperlink" Target="https://github.com/wzx11223344/express-consumption" TargetMode="External"/><Relationship Id="rId14" Type="http://schemas.openxmlformats.org/officeDocument/2006/relationships/hyperlink" Target="https://github.com/wzx11223344/econ-dashboard" TargetMode="External"/><Relationship Id="rId15" Type="http://schemas.openxmlformats.org/officeDocument/2006/relationships/hyperlink" Target="https://github.com/wzx11223344/china-econ-pulse" TargetMode="External"/><Relationship Id="rId16" Type="http://schemas.openxmlformats.org/officeDocument/2006/relationships/hyperlink" Target="https://github.com/wzx11223344/interview-coach" TargetMode="External"/><Relationship Id="rId17" Type="http://schemas.openxmlformats.org/officeDocument/2006/relationships/hyperlink" Target="https://github.com/wzx11223344/study-compan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