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000"/>
        <w:gridCol w:w="6606"/>
        <w:gridCol w:w="1600"/>
      </w:tblGrid>
      <w:tr>
        <w:tc>
          <w:tcPr>
            <w:tcW w:type="dxa" w:w="2000"/>
          </w:tcPr>
          <w:p>
            <w:r>
              <w:drawing>
                <wp:inline xmlns:a="http://schemas.openxmlformats.org/drawingml/2006/main" xmlns:pic="http://schemas.openxmlformats.org/drawingml/2006/picture">
                  <wp:extent cx="900000" cy="126000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hoto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00000" cy="126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606"/>
          </w:tcPr>
          <w:p>
            <w:r>
              <w:rPr>
                <w:b/>
                <w:color w:val="2F6B50"/>
                <w:sz w:val="36"/>
              </w:rPr>
              <w:t xml:space="preserve">万值翔</w:t>
            </w:r>
          </w:p>
          <w:p>
            <w:r>
              <w:rPr>
                <w:color w:val="555555"/>
                <w:sz w:val="19"/>
              </w:rPr>
              <w:t xml:space="preserve">经济学本科 · 2027 届</w:t>
            </w:r>
          </w:p>
          <w:p>
            <w:r>
              <w:rPr>
                <w:color w:val="666666"/>
                <w:sz w:val="19"/>
              </w:rPr>
              <w:t>电话：13388736755</w:t>
            </w:r>
            <w:r>
              <w:rPr/>
              <w:t xml:space="preserve">   </w:t>
            </w:r>
            <w:r>
              <w:rPr>
                <w:color w:val="666666"/>
                <w:sz w:val="19"/>
              </w:rPr>
              <w:t>邮箱：13388736755@163.com</w:t>
            </w:r>
            <w:r>
              <w:rPr/>
              <w:t xml:space="preserve">   </w:t>
            </w:r>
            <w:r>
              <w:rPr>
                <w:color w:val="666666"/>
                <w:sz w:val="19"/>
              </w:rPr>
              <w:t>GitHub：</w:t>
            </w:r>
            <w:hyperlink r:id="rId11">
              <w:r>
                <w:rPr>
                  <w:color w:val="2F6B50"/>
                  <w:sz w:val="19"/>
                </w:rPr>
                <w:t>github.com/wzx11223344</w:t>
              </w:r>
            </w:hyperlink>
            <w:r>
              <w:rPr/>
              <w:t xml:space="preserve">   </w:t>
            </w:r>
            <w:r>
              <w:rPr>
                <w:color w:val="666666"/>
                <w:sz w:val="19"/>
              </w:rPr>
              <w:t>作品集：</w:t>
            </w:r>
            <w:hyperlink r:id="rId19">
              <w:r>
                <w:rPr>
                  <w:color w:val="2F6B50"/>
                  <w:sz w:val="19"/>
                </w:rPr>
                <w:t>wzx11223344.github.io/portfolio-demo/positions/quant.html</w:t>
              </w:r>
            </w:hyperlink>
          </w:p>
        </w:tc>
        <w:tc>
          <w:tcPr>
            <w:tcW w:type="dxa" w:w="1600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720000" cy="720000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mage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20000" cy="72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r>
              <w:rPr>
                <w:color w:val="888888"/>
                <w:sz w:val="15"/>
              </w:rPr>
              <w:t>扫码看作品集</w:t>
            </w:r>
          </w:p>
        </w:tc>
      </w:tr>
    </w:tbl>
    <w:p>
      <w:pPr>
        <w:spacing w:after="40"/>
        <w:jc w:val="left"/>
      </w:pPr>
      <w:r>
        <w:rPr>
          <w:color w:val="444444"/>
          <w:sz w:val="19"/>
        </w:rPr>
        <w:t>意向行业：量化投资/金融科技/数据科学 ｜ 目标岗位：量化研究助理/数据分析师/策略开发 ｜ 意向城市：上海 ｜ 薪资：面议 ｜ 教育：华东师范大学·经济学本科（前30%）</w:t>
      </w:r>
    </w:p>
    <w:p>
      <w:pPr>
        <w:spacing w:before="60" w:after="20"/>
        <w:pBdr>
          <w:bottom w:val="single" w:sz="6" w:space="2" w:color="2f6b50"/>
        </w:pBdr>
      </w:pPr>
      <w:r>
        <w:rPr>
          <w:b/>
          <w:color w:val="2F6B50"/>
          <w:sz w:val="23"/>
        </w:rPr>
        <w:t>实习经历</w:t>
      </w:r>
    </w:p>
    <w:p>
      <w:pPr>
        <w:spacing w:after="0"/>
      </w:pPr>
      <w:r>
        <w:rPr>
          <w:b/>
          <w:sz w:val="21"/>
        </w:rPr>
        <w:t>证券分析师助理 · 国盛证券股份有限公司</w:t>
      </w:r>
    </w:p>
    <w:p>
      <w:pPr>
        <w:spacing w:after="20"/>
      </w:pPr>
      <w:r>
        <w:rPr>
          <w:color w:val="888888"/>
          <w:sz w:val="18"/>
        </w:rPr>
        <w:t>2025.08 - 2025.12</w:t>
      </w:r>
    </w:p>
    <w:p>
      <w:pPr>
        <w:spacing w:after="20" w:line="264" w:lineRule="auto"/>
      </w:pPr>
      <w:r>
        <w:rPr>
          <w:b/>
          <w:color w:val="888888"/>
          <w:sz w:val="19"/>
        </w:rPr>
        <w:t xml:space="preserve">· </w:t>
      </w:r>
      <w:r>
        <w:rPr>
          <w:sz w:val="19"/>
        </w:rPr>
        <w:t>数据工程：搭建门店经营数据动态监测系统（Excel Power Query + 数据透视表），处理百胜中国、九毛九等标的多维运营数据，构建库存周转、人效等观测指标并定期更新</w:t>
      </w:r>
    </w:p>
    <w:p>
      <w:pPr>
        <w:spacing w:after="20" w:line="264" w:lineRule="auto"/>
      </w:pPr>
      <w:r>
        <w:rPr>
          <w:b/>
          <w:color w:val="888888"/>
          <w:sz w:val="19"/>
        </w:rPr>
        <w:t xml:space="preserve">· </w:t>
      </w:r>
      <w:r>
        <w:rPr>
          <w:sz w:val="19"/>
        </w:rPr>
        <w:t>量化分析：独立完成 3 份消费服务行业深度报告，以可比公司数据做横截面对比与趋势识别，核心观点纳入组内投资参考</w:t>
      </w:r>
    </w:p>
    <w:p>
      <w:pPr>
        <w:spacing w:after="0"/>
      </w:pPr>
      <w:r>
        <w:rPr>
          <w:b/>
          <w:sz w:val="21"/>
        </w:rPr>
        <w:t>会计实习生 · 上海沪中会计师事务所</w:t>
      </w:r>
    </w:p>
    <w:p>
      <w:pPr>
        <w:spacing w:after="20"/>
      </w:pPr>
      <w:r>
        <w:rPr>
          <w:color w:val="888888"/>
          <w:sz w:val="18"/>
        </w:rPr>
        <w:t>2026.09 - 2026.12</w:t>
      </w:r>
    </w:p>
    <w:p>
      <w:pPr>
        <w:spacing w:after="20" w:line="264" w:lineRule="auto"/>
      </w:pPr>
      <w:r>
        <w:rPr>
          <w:b/>
          <w:color w:val="888888"/>
          <w:sz w:val="19"/>
        </w:rPr>
        <w:t xml:space="preserve">· </w:t>
      </w:r>
      <w:r>
        <w:rPr>
          <w:sz w:val="19"/>
        </w:rPr>
        <w:t>审计程序：参与企业年度审计及专项审计项目，完成货币资金、往来款项等科目的凭证抽查、银行函证、余额核对及底稿编制，具备严格的数据核对与异常识别习惯</w:t>
      </w:r>
    </w:p>
    <w:p>
      <w:pPr>
        <w:spacing w:after="0"/>
      </w:pPr>
      <w:r>
        <w:rPr>
          <w:b/>
          <w:sz w:val="21"/>
        </w:rPr>
        <w:t>产业调研与项目评估 · 上海市经济和信息化委员会</w:t>
      </w:r>
    </w:p>
    <w:p>
      <w:pPr>
        <w:spacing w:after="20"/>
      </w:pPr>
      <w:r>
        <w:rPr>
          <w:color w:val="888888"/>
          <w:sz w:val="18"/>
        </w:rPr>
        <w:t>2026.03 - 2026.07</w:t>
      </w:r>
    </w:p>
    <w:p>
      <w:pPr>
        <w:spacing w:after="20" w:line="264" w:lineRule="auto"/>
      </w:pPr>
      <w:r>
        <w:rPr>
          <w:b/>
          <w:color w:val="888888"/>
          <w:sz w:val="19"/>
        </w:rPr>
        <w:t xml:space="preserve">· </w:t>
      </w:r>
      <w:r>
        <w:rPr>
          <w:sz w:val="19"/>
        </w:rPr>
        <w:t>数据调研：参与 20+ 场项目评审，梳理企业申报数据并识别一致性问题，优化审核清单后项目通过率提升至 95%；走访 15+ 家企业撰写 3 篇调研报告</w:t>
      </w:r>
    </w:p>
    <w:p>
      <w:pPr>
        <w:spacing w:after="0"/>
      </w:pPr>
      <w:r>
        <w:rPr>
          <w:b/>
          <w:sz w:val="21"/>
        </w:rPr>
        <w:t>人力资源实习生（含客户经理轮岗/ 寒假实践） · 中国联通（上海）公司</w:t>
      </w:r>
    </w:p>
    <w:p>
      <w:pPr>
        <w:spacing w:after="20"/>
      </w:pPr>
      <w:r>
        <w:rPr>
          <w:color w:val="888888"/>
          <w:sz w:val="18"/>
        </w:rPr>
        <w:t>2026.01 - 2026.02</w:t>
      </w:r>
    </w:p>
    <w:p>
      <w:pPr>
        <w:spacing w:after="20" w:line="264" w:lineRule="auto"/>
      </w:pPr>
      <w:r>
        <w:rPr>
          <w:b/>
          <w:color w:val="888888"/>
          <w:sz w:val="19"/>
        </w:rPr>
        <w:t xml:space="preserve">· </w:t>
      </w:r>
      <w:r>
        <w:rPr>
          <w:sz w:val="19"/>
        </w:rPr>
        <w:t>数据治理：统筹 7 个班级、21 个部门 3,500+ 条积点数据，建立台账并交叉校验，识别评分口径不一致问题并协助统一规范</w:t>
      </w:r>
    </w:p>
    <w:p>
      <w:pPr>
        <w:spacing w:before="60" w:after="20"/>
        <w:pBdr>
          <w:bottom w:val="single" w:sz="6" w:space="2" w:color="2f6b50"/>
        </w:pBdr>
      </w:pPr>
      <w:r>
        <w:rPr>
          <w:b/>
          <w:color w:val="2F6B50"/>
          <w:sz w:val="23"/>
        </w:rPr>
        <w:t>项目经历</w:t>
      </w:r>
    </w:p>
    <w:p>
      <w:pPr>
        <w:spacing w:after="0"/>
      </w:pPr>
      <w:r>
        <w:rPr>
          <w:b/>
          <w:sz w:val="21"/>
        </w:rPr>
        <w:t>经济文明推演引擎 · 复杂社会经济系统因果识别与情景推演平台（宏观量化 / 因果推断）</w:t>
      </w:r>
    </w:p>
    <w:p>
      <w:pPr>
        <w:spacing w:after="20"/>
      </w:pPr>
      <w:r>
        <w:rPr>
          <w:color w:val="888888"/>
          <w:sz w:val="18"/>
        </w:rPr>
        <w:t>2026.07 – 至今</w:t>
      </w:r>
    </w:p>
    <w:p>
      <w:pPr>
        <w:spacing w:after="20" w:line="264" w:lineRule="auto"/>
      </w:pPr>
      <w:r>
        <w:rPr>
          <w:b/>
          <w:color w:val="888888"/>
          <w:sz w:val="19"/>
        </w:rPr>
        <w:t xml:space="preserve">· </w:t>
      </w:r>
      <w:r>
        <w:rPr>
          <w:sz w:val="19"/>
        </w:rPr>
        <w:t>项目定位：将「识别→估计→传导→推演→验证」串成可复用研究链路，服务政策效应评估与情景研判；前端零第三方运行时，自研 SVG 图表引擎</w:t>
      </w:r>
    </w:p>
    <w:p>
      <w:pPr>
        <w:spacing w:after="20" w:line="264" w:lineRule="auto"/>
      </w:pPr>
      <w:r>
        <w:rPr>
          <w:b/>
          <w:color w:val="888888"/>
          <w:sz w:val="19"/>
        </w:rPr>
        <w:t xml:space="preserve">· </w:t>
      </w:r>
      <w:r>
        <w:rPr>
          <w:sz w:val="19"/>
        </w:rPr>
        <w:t>方法框架：CAUSES 7 类识别策略 / CHANNELS 4 类传导机制 / SHOCKS 9 类外生冲击 / POLICIES 反事实政策库；集成 pyconometrics + causal-inference-ml 构成计量—因果混合引擎</w:t>
      </w:r>
    </w:p>
    <w:p>
      <w:pPr>
        <w:spacing w:after="20" w:line="264" w:lineRule="auto"/>
      </w:pPr>
      <w:r>
        <w:rPr>
          <w:b/>
          <w:color w:val="888888"/>
          <w:sz w:val="19"/>
        </w:rPr>
        <w:t xml:space="preserve">· </w:t>
      </w:r>
      <w:r>
        <w:rPr>
          <w:sz w:val="19"/>
        </w:rPr>
        <w:t>数据与实现：对接 World Bank / FRED / 国家统计局 / Wind / CEIC 多源宏观数据，含失败回落机制；量化指标均取自权威数据源，无法核定的以「见原始统计」标注</w:t>
      </w:r>
    </w:p>
    <w:p>
      <w:pPr>
        <w:spacing w:after="20" w:line="264" w:lineRule="auto"/>
      </w:pPr>
      <w:r>
        <w:rPr>
          <w:b/>
          <w:color w:val="888888"/>
          <w:sz w:val="19"/>
        </w:rPr>
        <w:t xml:space="preserve">· </w:t>
      </w:r>
      <w:r>
        <w:rPr>
          <w:sz w:val="19"/>
        </w:rPr>
        <w:t>项目地址（2 个真实可访问）：开源仓库 github.com/wzx11223344/econ-civilization-engine ｜ 在线演示 wzx11223344.github.io/econ-civilization-engine/</w:t>
      </w:r>
    </w:p>
    <w:p>
      <w:pPr>
        <w:spacing w:after="0"/>
      </w:pPr>
      <w:r>
        <w:rPr>
          <w:b/>
          <w:sz w:val="21"/>
        </w:rPr>
        <w:t>智能工厂能级提升 · 全流程可观测与指挥平台（数据产品）</w:t>
      </w:r>
    </w:p>
    <w:p>
      <w:pPr>
        <w:spacing w:after="20"/>
      </w:pPr>
      <w:r>
        <w:rPr>
          <w:color w:val="888888"/>
          <w:sz w:val="18"/>
        </w:rPr>
        <w:t>2026.07 – 至今</w:t>
      </w:r>
    </w:p>
    <w:p>
      <w:pPr>
        <w:spacing w:after="20" w:line="264" w:lineRule="auto"/>
      </w:pPr>
      <w:r>
        <w:rPr>
          <w:b/>
          <w:color w:val="888888"/>
          <w:sz w:val="19"/>
        </w:rPr>
        <w:t xml:space="preserve">· </w:t>
      </w:r>
      <w:r>
        <w:rPr>
          <w:sz w:val="19"/>
        </w:rPr>
        <w:t>数据底座：结构化设计 TIERS 4 级能级梯度 / AREAS 5 大建设环节 / KPI_REF 22 项绩效指标 / CHAIN 5 阶段流程 / CASES 9 行业标杆 / ISSUES 6 类评审共性问题</w:t>
      </w:r>
    </w:p>
    <w:p>
      <w:pPr>
        <w:spacing w:after="20" w:line="264" w:lineRule="auto"/>
      </w:pPr>
      <w:r>
        <w:rPr>
          <w:b/>
          <w:color w:val="888888"/>
          <w:sz w:val="19"/>
        </w:rPr>
        <w:t xml:space="preserve">· </w:t>
      </w:r>
      <w:r>
        <w:rPr>
          <w:sz w:val="19"/>
        </w:rPr>
        <w:t>工程实现：前端原生 HTML/CSS/JS 单页应用（10 屏看板），后端 Python MES 适配器（mes_adapter.py + server.py）对接生产数据，集成 RTSP 视频监控网关</w:t>
      </w:r>
    </w:p>
    <w:p>
      <w:pPr>
        <w:spacing w:after="20" w:line="264" w:lineRule="auto"/>
      </w:pPr>
      <w:r>
        <w:rPr>
          <w:b/>
          <w:color w:val="888888"/>
          <w:sz w:val="19"/>
        </w:rPr>
        <w:t xml:space="preserve">· </w:t>
      </w:r>
      <w:r>
        <w:rPr>
          <w:sz w:val="19"/>
        </w:rPr>
        <w:t>项目地址（3 个真实可访问）：GitHub 仓库 github.com/wzx11223344/smart-factory-dashboard ｜ 在线演示 wzx11223344.github.io/smart-factory-dashboard/ ｜ CloudStudio 一键部署 https://9b4a9004620c4d2b99481077cf6f4a94.gz5.agentos-app.net</w:t>
      </w:r>
    </w:p>
    <w:p>
      <w:pPr>
        <w:spacing w:before="60" w:after="20"/>
        <w:pBdr>
          <w:bottom w:val="single" w:sz="6" w:space="2" w:color="2f6b50"/>
        </w:pBdr>
      </w:pPr>
      <w:r>
        <w:rPr>
          <w:b/>
          <w:color w:val="2F6B50"/>
          <w:sz w:val="23"/>
        </w:rPr>
        <w:t>竞赛与科研</w:t>
      </w:r>
    </w:p>
    <w:p>
      <w:pPr>
        <w:spacing w:after="0"/>
      </w:pPr>
      <w:r>
        <w:rPr>
          <w:b/>
          <w:sz w:val="21"/>
        </w:rPr>
        <w:t>数据分析负责人·优秀奖 · 正大杯市场分析与调查大赛</w:t>
      </w:r>
    </w:p>
    <w:p>
      <w:pPr>
        <w:spacing w:after="20"/>
      </w:pPr>
      <w:r>
        <w:rPr>
          <w:color w:val="888888"/>
          <w:sz w:val="18"/>
        </w:rPr>
        <w:t>2024.11 - 2025.03</w:t>
      </w:r>
    </w:p>
    <w:p>
      <w:pPr>
        <w:spacing w:after="20" w:line="264" w:lineRule="auto"/>
      </w:pPr>
      <w:r>
        <w:rPr>
          <w:b/>
          <w:color w:val="888888"/>
          <w:sz w:val="19"/>
        </w:rPr>
        <w:t xml:space="preserve">· </w:t>
      </w:r>
      <w:r>
        <w:rPr>
          <w:sz w:val="19"/>
        </w:rPr>
        <w:t>数据分析：围绕快递网点取件对周边消费的带动效应展开全国调研（n=1,352，有效1,146，覆盖31 省），构建LPM、Logistic、多元线性回归三类计量模型；发现86.98%取件人会附带消费、傍晚时段边际效应最强（系数0.41，p&lt;0.001）、通行时间每增1 级消费优势比提升4.34 倍，据此提出“时间成本分摊”机制并提出分时分层商铺布局建议</w:t>
      </w:r>
    </w:p>
    <w:p>
      <w:pPr>
        <w:spacing w:after="0"/>
      </w:pPr>
      <w:r>
        <w:rPr>
          <w:b/>
          <w:sz w:val="21"/>
        </w:rPr>
        <w:t>个人赛参赛选手·优秀等级 · 上证杯第六届全国高校ETF 知识及理财规划大赛</w:t>
      </w:r>
    </w:p>
    <w:p>
      <w:pPr>
        <w:spacing w:after="20"/>
      </w:pPr>
      <w:r>
        <w:rPr>
          <w:color w:val="888888"/>
          <w:sz w:val="18"/>
        </w:rPr>
        <w:t>2026.06</w:t>
      </w:r>
    </w:p>
    <w:p>
      <w:pPr>
        <w:spacing w:after="20" w:line="264" w:lineRule="auto"/>
      </w:pPr>
      <w:r>
        <w:rPr>
          <w:b/>
          <w:color w:val="888888"/>
          <w:sz w:val="19"/>
        </w:rPr>
        <w:t xml:space="preserve">· </w:t>
      </w:r>
      <w:r>
        <w:rPr>
          <w:sz w:val="19"/>
        </w:rPr>
        <w:t>知识竞赛：80 题仅错6 题，正确率92.5%；模拟投资环节独立完成行情研判与资产配置决策，实现资产净值增长36%</w:t>
      </w:r>
    </w:p>
    <w:p>
      <w:pPr>
        <w:spacing w:before="60" w:after="20"/>
        <w:pBdr>
          <w:bottom w:val="single" w:sz="6" w:space="2" w:color="2f6b50"/>
        </w:pBdr>
      </w:pPr>
      <w:r>
        <w:rPr>
          <w:b/>
          <w:color w:val="2F6B50"/>
          <w:sz w:val="23"/>
        </w:rPr>
        <w:t>开源项目</w:t>
      </w:r>
    </w:p>
    <w:p>
      <w:pPr>
        <w:spacing w:after="20" w:line="264" w:lineRule="auto"/>
      </w:pPr>
      <w:r>
        <w:rPr>
          <w:b/>
          <w:color w:val="888888"/>
          <w:sz w:val="19"/>
        </w:rPr>
        <w:t xml:space="preserve">· </w:t>
      </w:r>
      <w:r>
        <w:rPr>
          <w:sz w:val="19"/>
        </w:rPr>
        <w:t>· 个人 GitHub 开源 100+ 仓库，覆盖量化金融与计量工具链：量化回测（quantlab / backtest-engine）、组合优化与风险平价（portfolio-optimizer）、期权定价与波动率曲面（option-pricer / vol-surface）、债券收益率曲线（bond-curve-lab / NSS）、信用风险（credit-risk）、从零实现计量库（pyconometrics：OLS/IV/2SLS/DID/RDD/面板 FE）、因果推断机器学习（causal-inference-ml：Double ML/因果森林）、贝叶斯推断（bayesmetrics：NUTS/HMC）、宏观建模（dsgepy）</w:t>
      </w:r>
    </w:p>
    <w:p>
      <w:pPr>
        <w:spacing w:before="60" w:after="20"/>
        <w:pBdr>
          <w:bottom w:val="single" w:sz="6" w:space="2" w:color="2f6b50"/>
        </w:pBdr>
      </w:pPr>
      <w:r>
        <w:rPr>
          <w:b/>
          <w:color w:val="2F6B50"/>
          <w:sz w:val="23"/>
        </w:rPr>
        <w:t>专业技能</w:t>
      </w:r>
    </w:p>
    <w:p>
      <w:pPr>
        <w:spacing w:after="20" w:line="264" w:lineRule="auto"/>
      </w:pPr>
      <w:r>
        <w:rPr>
          <w:b/>
          <w:color w:val="888888"/>
          <w:sz w:val="19"/>
        </w:rPr>
        <w:t xml:space="preserve">· </w:t>
      </w:r>
      <w:r>
        <w:rPr>
          <w:sz w:val="19"/>
        </w:rPr>
        <w:t>· 编程与数据：Python（NumPy / pandas / matplotlib）/ SQL / Stata / SPSS / Excel</w:t>
      </w:r>
    </w:p>
    <w:p>
      <w:pPr>
        <w:spacing w:after="20" w:line="264" w:lineRule="auto"/>
      </w:pPr>
      <w:r>
        <w:rPr>
          <w:b/>
          <w:color w:val="888888"/>
          <w:sz w:val="19"/>
        </w:rPr>
        <w:t xml:space="preserve">· </w:t>
      </w:r>
      <w:r>
        <w:rPr>
          <w:sz w:val="19"/>
        </w:rPr>
        <w:t>· 量化与计量：从零实现 OLS/IV/2SLS/DID/RDD、面板 FE/RE；组合优化（Markowitz / 风险平价）、期权定价（Black-Scholes / 二叉树）、收益率曲线（NSS）、GARCH</w:t>
      </w:r>
    </w:p>
    <w:p>
      <w:pPr>
        <w:spacing w:after="20" w:line="264" w:lineRule="auto"/>
      </w:pPr>
      <w:r>
        <w:rPr>
          <w:b/>
          <w:color w:val="888888"/>
          <w:sz w:val="19"/>
        </w:rPr>
        <w:t xml:space="preserve">· </w:t>
      </w:r>
      <w:r>
        <w:rPr>
          <w:sz w:val="19"/>
        </w:rPr>
        <w:t>· 前沿方法：Double ML / 因果森林、贝叶斯推断（NUTS / HMC）、DSGE 动态随机一般均衡建模</w:t>
      </w:r>
    </w:p>
    <w:p>
      <w:pPr>
        <w:spacing w:after="20" w:line="264" w:lineRule="auto"/>
      </w:pPr>
      <w:r>
        <w:rPr>
          <w:b/>
          <w:color w:val="888888"/>
          <w:sz w:val="19"/>
        </w:rPr>
        <w:t xml:space="preserve">· </w:t>
      </w:r>
      <w:r>
        <w:rPr>
          <w:sz w:val="19"/>
        </w:rPr>
        <w:t>· 证书：基金从业 / 银行从业 / 初级会计</w:t>
      </w:r>
    </w:p>
    <w:p>
      <w:pPr>
        <w:spacing w:before="60" w:after="20"/>
        <w:pBdr>
          <w:bottom w:val="single" w:sz="6" w:space="2" w:color="2f6b50"/>
        </w:pBdr>
      </w:pPr>
      <w:r>
        <w:rPr>
          <w:b/>
          <w:color w:val="2F6B50"/>
          <w:sz w:val="23"/>
        </w:rPr>
        <w:t>荣誉证书</w:t>
      </w:r>
    </w:p>
    <w:p>
      <w:pPr>
        <w:spacing w:after="20" w:line="264" w:lineRule="auto"/>
      </w:pPr>
      <w:r>
        <w:rPr>
          <w:b/>
          <w:color w:val="888888"/>
          <w:sz w:val="19"/>
        </w:rPr>
        <w:t xml:space="preserve">· </w:t>
      </w:r>
      <w:r>
        <w:rPr>
          <w:sz w:val="19"/>
        </w:rPr>
        <w:t>· 基金从业资格证  · 银行从业资格证  · 初级会计职称  · CET-6  · 正大杯市场调查大赛优秀奖  · 上证杯ETF 知识竞赛优秀  · 全国大学生数学建模竞赛省级二等奖</w:t>
      </w:r>
    </w:p>
    <w:p>
      <w:pPr>
        <w:spacing w:before="60" w:after="20"/>
        <w:pBdr>
          <w:bottom w:val="single" w:sz="6" w:space="2" w:color="2f6b50"/>
        </w:pBdr>
      </w:pPr>
      <w:r>
        <w:rPr>
          <w:b/>
          <w:color w:val="2F6B50"/>
          <w:sz w:val="23"/>
        </w:rPr>
        <w:t>自我评价</w:t>
      </w:r>
    </w:p>
    <w:p>
      <w:pPr>
        <w:spacing w:after="20" w:line="264" w:lineRule="auto"/>
      </w:pPr>
      <w:r>
        <w:rPr>
          <w:sz w:val="19"/>
        </w:rPr>
        <w:t>经济学本科（前 30%），持基金 / 银行从业双证及初级会计；以 Python 从零实现计量经济学、因果推断与量化金融工具链（开源 100+ 项目），覆盖因子与回测、组合优化、期权定价与面板计量；正大杯全国大赛负责 1,352 份问卷的计量建模与可复现代码。具备将经济直觉转化为可计算模型的工程能力。</w:t>
      </w:r>
    </w:p>
    <w:sectPr w:rsidR="00FC693F" w:rsidRPr="0006063C" w:rsidSect="00034616">
      <w:pgSz w:w="11906" w:h="16838"/>
      <w:pgMar w:top="680" w:right="850" w:bottom="68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 w:eastAsia="Microsoft YaHei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hyperlink" Target="https://github.com/wzx11223344" TargetMode="External"/><Relationship Id="rId12" Type="http://schemas.openxmlformats.org/officeDocument/2006/relationships/hyperlink" Target="https://wzx11223344.github.io/portfolio-demo/positions/finance.html" TargetMode="External"/><Relationship Id="rId13" Type="http://schemas.openxmlformats.org/officeDocument/2006/relationships/hyperlink" Target="https://github.com/wzx11223344/financial-statement-analyzer" TargetMode="External"/><Relationship Id="rId14" Type="http://schemas.openxmlformats.org/officeDocument/2006/relationships/hyperlink" Target="https://github.com/wzx11223344/fund-analysis" TargetMode="External"/><Relationship Id="rId15" Type="http://schemas.openxmlformats.org/officeDocument/2006/relationships/hyperlink" Target="https://github.com/wzx11223344/quantlab" TargetMode="External"/><Relationship Id="rId16" Type="http://schemas.openxmlformats.org/officeDocument/2006/relationships/hyperlink" Target="https://github.com/wzx11223344/china-econ-pulse" TargetMode="External"/><Relationship Id="rId17" Type="http://schemas.openxmlformats.org/officeDocument/2006/relationships/hyperlink" Target="https://github.com/wzx11223344/mcp-financial-data" TargetMode="External"/><Relationship Id="rId18" Type="http://schemas.openxmlformats.org/officeDocument/2006/relationships/hyperlink" Target="https://github.com/wzx11223344/express-consumption" TargetMode="External"/><Relationship Id="rId19" Type="http://schemas.openxmlformats.org/officeDocument/2006/relationships/hyperlink" Target="https://wzx11223344.github.io/portfolio-demo/positions/quant.htm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