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96CD" w14:textId="77777777" w:rsidR="007452C0" w:rsidRDefault="00000000">
      <w:pPr>
        <w:jc w:val="center"/>
        <w:rPr>
          <w:rFonts w:hint="eastAsia"/>
          <w:lang w:eastAsia="zh-CN"/>
        </w:rPr>
      </w:pPr>
      <w:r>
        <w:rPr>
          <w:rFonts w:ascii="黑体" w:eastAsia="黑体" w:hAnsi="黑体"/>
          <w:b/>
          <w:sz w:val="36"/>
          <w:lang w:eastAsia="zh-CN"/>
        </w:rPr>
        <w:t>中期检查</w:t>
      </w:r>
    </w:p>
    <w:p w14:paraId="35BADD5D" w14:textId="77777777" w:rsidR="007452C0" w:rsidRDefault="00000000">
      <w:pPr>
        <w:jc w:val="center"/>
        <w:rPr>
          <w:rFonts w:hint="eastAsia"/>
          <w:lang w:eastAsia="zh-CN"/>
        </w:rPr>
      </w:pPr>
      <w:r>
        <w:rPr>
          <w:lang w:eastAsia="zh-CN"/>
        </w:rPr>
        <w:t>课题名称：湖南电力市场售电公司多时间尺度采购策略优化研究——基于双层混合粒子群搜索与政策可行域约束</w:t>
      </w:r>
      <w:r>
        <w:rPr>
          <w:lang w:eastAsia="zh-CN"/>
        </w:rPr>
        <w:br/>
        <w:t>检查日期：2026年5月6日</w:t>
      </w:r>
    </w:p>
    <w:p w14:paraId="5CCAF6AD" w14:textId="77777777" w:rsidR="007452C0" w:rsidRDefault="00000000">
      <w:pPr>
        <w:spacing w:before="160" w:after="80"/>
        <w:rPr>
          <w:rFonts w:hint="eastAsia"/>
          <w:lang w:eastAsia="zh-CN"/>
        </w:rPr>
      </w:pPr>
      <w:r>
        <w:rPr>
          <w:rFonts w:ascii="黑体" w:eastAsia="黑体" w:hAnsi="黑体"/>
          <w:b/>
          <w:sz w:val="30"/>
          <w:lang w:eastAsia="zh-CN"/>
        </w:rPr>
        <w:t>根据工作任务与进度安排，</w:t>
      </w:r>
      <w:proofErr w:type="gramStart"/>
      <w:r>
        <w:rPr>
          <w:rFonts w:ascii="黑体" w:eastAsia="黑体" w:hAnsi="黑体"/>
          <w:b/>
          <w:sz w:val="30"/>
          <w:lang w:eastAsia="zh-CN"/>
        </w:rPr>
        <w:t>至检查</w:t>
      </w:r>
      <w:proofErr w:type="gramEnd"/>
      <w:r>
        <w:rPr>
          <w:rFonts w:ascii="黑体" w:eastAsia="黑体" w:hAnsi="黑体"/>
          <w:b/>
          <w:sz w:val="30"/>
          <w:lang w:eastAsia="zh-CN"/>
        </w:rPr>
        <w:t>日前应完成的工作任务：</w:t>
      </w:r>
    </w:p>
    <w:p w14:paraId="71662608" w14:textId="77777777" w:rsidR="007452C0" w:rsidRDefault="00000000">
      <w:pPr>
        <w:spacing w:after="60" w:line="348" w:lineRule="auto"/>
        <w:ind w:firstLine="420"/>
        <w:rPr>
          <w:rFonts w:hint="eastAsia"/>
          <w:lang w:eastAsia="zh-CN"/>
        </w:rPr>
      </w:pPr>
      <w:r>
        <w:rPr>
          <w:lang w:eastAsia="zh-CN"/>
        </w:rPr>
        <w:t>按前期进度安排，检查日前应完成开题报告定稿、论文题目与总体框架校准、文献基础整理，以及程序实现口径的阶段性核对。5月6日起，工作重心应从开题材料转入论文第一章、第二章初稿，同时为第三章模型公式和第四章算法实现写作准备可直接引用的证据。</w:t>
      </w:r>
    </w:p>
    <w:p w14:paraId="76CE0347" w14:textId="77777777" w:rsidR="007452C0" w:rsidRDefault="00000000">
      <w:pPr>
        <w:spacing w:after="60" w:line="348" w:lineRule="auto"/>
        <w:ind w:firstLine="420"/>
        <w:rPr>
          <w:rFonts w:hint="eastAsia"/>
          <w:lang w:eastAsia="zh-CN"/>
        </w:rPr>
      </w:pPr>
      <w:r>
        <w:rPr>
          <w:lang w:eastAsia="zh-CN"/>
        </w:rPr>
        <w:t>结合当前课题实际，检查日前还需要完成三类支撑工作：一是把文献综述从一般背景整理为服务研究问题的分类文献基础；二是</w:t>
      </w:r>
      <w:proofErr w:type="gramStart"/>
      <w:r>
        <w:rPr>
          <w:lang w:eastAsia="zh-CN"/>
        </w:rPr>
        <w:t>把周度中长期</w:t>
      </w:r>
      <w:proofErr w:type="gramEnd"/>
      <w:r>
        <w:rPr>
          <w:lang w:eastAsia="zh-CN"/>
        </w:rPr>
        <w:t>持仓、</w:t>
      </w:r>
      <w:proofErr w:type="gramStart"/>
      <w:r>
        <w:rPr>
          <w:lang w:eastAsia="zh-CN"/>
        </w:rPr>
        <w:t>小时级</w:t>
      </w:r>
      <w:proofErr w:type="gramEnd"/>
      <w:r>
        <w:rPr>
          <w:lang w:eastAsia="zh-CN"/>
        </w:rPr>
        <w:t>现货修正和15分钟结算三层模型写成清楚的数学表达；三是把程序实现、运行结果、基准比较和已知限制整理成可以支撑论文第五章的材料。</w:t>
      </w:r>
    </w:p>
    <w:p w14:paraId="5860BD18" w14:textId="77777777" w:rsidR="007452C0" w:rsidRDefault="00000000">
      <w:pPr>
        <w:spacing w:before="160" w:after="80"/>
        <w:rPr>
          <w:rFonts w:hint="eastAsia"/>
          <w:lang w:eastAsia="zh-CN"/>
        </w:rPr>
      </w:pPr>
      <w:r>
        <w:rPr>
          <w:rFonts w:ascii="黑体" w:eastAsia="黑体" w:hAnsi="黑体"/>
          <w:b/>
          <w:sz w:val="30"/>
          <w:lang w:eastAsia="zh-CN"/>
        </w:rPr>
        <w:t>已完成的工作任务与进度情况（开题报告、阶段性成果等）：*</w:t>
      </w:r>
    </w:p>
    <w:p w14:paraId="124316C4" w14:textId="427383A0" w:rsidR="007452C0" w:rsidRDefault="00000000">
      <w:pPr>
        <w:spacing w:after="60" w:line="348" w:lineRule="auto"/>
        <w:ind w:firstLine="420"/>
        <w:rPr>
          <w:rFonts w:hint="eastAsia"/>
          <w:lang w:eastAsia="zh-CN"/>
        </w:rPr>
      </w:pPr>
      <w:r>
        <w:rPr>
          <w:lang w:eastAsia="zh-CN"/>
        </w:rPr>
        <w:t>开题报告已经形成，题目、研究对象、研究期、方法主线和章节结构均已与当前研究方向统一。报告明确以湖南电力市场售电公司为对象，样本期为2025年11月1日至2026年3月20日，方法主线为双层混合粒子群搜索与政策可行域约束，而不是旧稿中较多出现的端到端深度强化学习表述。</w:t>
      </w:r>
    </w:p>
    <w:p w14:paraId="32CD16E6" w14:textId="77777777" w:rsidR="007452C0" w:rsidRDefault="00000000">
      <w:pPr>
        <w:spacing w:after="60" w:line="348" w:lineRule="auto"/>
        <w:ind w:firstLine="420"/>
        <w:rPr>
          <w:rFonts w:hint="eastAsia"/>
          <w:lang w:eastAsia="zh-CN"/>
        </w:rPr>
      </w:pPr>
      <w:r>
        <w:rPr>
          <w:lang w:eastAsia="zh-CN"/>
        </w:rPr>
        <w:t>文献准备方面，已整理53篇参考文献，并完成53份本地PDF全文附件归档；经抽查和文件签名校验，53份PDF均可作为后续阅读全文和引文核对的基础。文献已按中长期合约与现货衔接、售电公司风险管理、新能源市场化机制、粒子群优化与约束处理、CVaR尾部风险评价，以及少量预测和强化学习背景文献进行归类。</w:t>
      </w:r>
    </w:p>
    <w:p w14:paraId="00F44A27" w14:textId="648D5981" w:rsidR="007452C0" w:rsidRDefault="00000000">
      <w:pPr>
        <w:spacing w:after="60" w:line="348" w:lineRule="auto"/>
        <w:ind w:firstLine="420"/>
        <w:rPr>
          <w:rFonts w:hint="eastAsia"/>
          <w:lang w:eastAsia="zh-CN"/>
        </w:rPr>
      </w:pPr>
      <w:r>
        <w:rPr>
          <w:lang w:eastAsia="zh-CN"/>
        </w:rPr>
        <w:t>模型和程序方面，当前主线已经运行到v0.46口径：唯一人工配置入口为根目录实验配置，正式算法为HYBRID_PSO_V040，运行链条覆盖数据预处理、政策规则解析、制度状态构造、政策可行域投影、双层HPSO训练、验证、</w:t>
      </w:r>
      <w:proofErr w:type="gramStart"/>
      <w:r>
        <w:rPr>
          <w:lang w:eastAsia="zh-CN"/>
        </w:rPr>
        <w:t>滚动回测</w:t>
      </w:r>
      <w:proofErr w:type="gramEnd"/>
      <w:r>
        <w:rPr>
          <w:lang w:eastAsia="zh-CN"/>
        </w:rPr>
        <w:t>、基准比较、消融和稳健性检验。验证记录显示，pipeline与</w:t>
      </w:r>
      <w:proofErr w:type="spellStart"/>
      <w:r>
        <w:rPr>
          <w:lang w:eastAsia="zh-CN"/>
        </w:rPr>
        <w:t>pytest</w:t>
      </w:r>
      <w:proofErr w:type="spellEnd"/>
      <w:r>
        <w:rPr>
          <w:lang w:eastAsia="zh-CN"/>
        </w:rPr>
        <w:t>均返回0，说明当前程序链条可复现运行。</w:t>
      </w:r>
    </w:p>
    <w:p w14:paraId="36CD706B" w14:textId="1ACF7DB1" w:rsidR="007452C0" w:rsidRDefault="00000000">
      <w:pPr>
        <w:spacing w:after="60" w:line="348" w:lineRule="auto"/>
        <w:ind w:firstLine="420"/>
        <w:rPr>
          <w:rFonts w:hint="eastAsia"/>
          <w:lang w:eastAsia="zh-CN"/>
        </w:rPr>
      </w:pPr>
      <w:r>
        <w:rPr>
          <w:lang w:eastAsia="zh-CN"/>
        </w:rPr>
        <w:lastRenderedPageBreak/>
        <w:t>阶段性实证结果已经形成。验证集累计收益为1,178,132,608.00，CVaR99为3,075,646.06；</w:t>
      </w:r>
      <w:proofErr w:type="gramStart"/>
      <w:r>
        <w:rPr>
          <w:lang w:eastAsia="zh-CN"/>
        </w:rPr>
        <w:t>滚动回测共</w:t>
      </w:r>
      <w:proofErr w:type="gramEnd"/>
      <w:r>
        <w:rPr>
          <w:lang w:eastAsia="zh-CN"/>
        </w:rPr>
        <w:t>10个窗口，平均收益为254,782,348.80，平均CVaR99为3,434,425.25。</w:t>
      </w:r>
      <w:proofErr w:type="gramStart"/>
      <w:r>
        <w:rPr>
          <w:lang w:eastAsia="zh-CN"/>
        </w:rPr>
        <w:t>持出集</w:t>
      </w:r>
      <w:proofErr w:type="gramEnd"/>
      <w:r>
        <w:rPr>
          <w:lang w:eastAsia="zh-CN"/>
        </w:rPr>
        <w:t>基准比较中，</w:t>
      </w:r>
      <w:proofErr w:type="spellStart"/>
      <w:r>
        <w:rPr>
          <w:lang w:eastAsia="zh-CN"/>
        </w:rPr>
        <w:t>dynamic_lock_only</w:t>
      </w:r>
      <w:proofErr w:type="spellEnd"/>
      <w:r>
        <w:rPr>
          <w:lang w:eastAsia="zh-CN"/>
        </w:rPr>
        <w:t>作为强基准，</w:t>
      </w:r>
      <w:proofErr w:type="spellStart"/>
      <w:r>
        <w:rPr>
          <w:lang w:eastAsia="zh-CN"/>
        </w:rPr>
        <w:t>static_no_spot_adjustment</w:t>
      </w:r>
      <w:proofErr w:type="spellEnd"/>
      <w:r>
        <w:rPr>
          <w:lang w:eastAsia="zh-CN"/>
        </w:rPr>
        <w:t>在利润口径上更高</w:t>
      </w:r>
      <w:r w:rsidR="00FA40DA">
        <w:rPr>
          <w:rFonts w:hint="eastAsia"/>
          <w:lang w:eastAsia="zh-CN"/>
        </w:rPr>
        <w:t>。按照当前结果，</w:t>
      </w:r>
      <w:r>
        <w:rPr>
          <w:lang w:eastAsia="zh-CN"/>
        </w:rPr>
        <w:t>论文写作中不会简单写成主策略在所有指标上占优，而会从收益、尾部风险、交易摩擦和现货修正收益空间几个方面解释。</w:t>
      </w:r>
    </w:p>
    <w:p w14:paraId="025E7FD5" w14:textId="77777777" w:rsidR="007452C0" w:rsidRDefault="00000000">
      <w:pPr>
        <w:spacing w:after="60" w:line="348" w:lineRule="auto"/>
        <w:ind w:firstLine="420"/>
        <w:rPr>
          <w:rFonts w:hint="eastAsia"/>
          <w:lang w:eastAsia="zh-CN"/>
        </w:rPr>
      </w:pPr>
      <w:r>
        <w:rPr>
          <w:lang w:eastAsia="zh-CN"/>
        </w:rPr>
        <w:t>论文撰写方面，已完成开题报告和总规划，旧草稿中第一章、第二章的部分内容可作为制度背景和风险传导分析的文字基础。当前仍处在正式正文初稿阶段，接下来应重点完成第一章、第二章，并在5月中旬前把第三章模型公式和第四章算法实现写成论文正文。</w:t>
      </w:r>
    </w:p>
    <w:p w14:paraId="7E5ACDD7" w14:textId="77777777" w:rsidR="007452C0" w:rsidRDefault="00000000">
      <w:pPr>
        <w:spacing w:before="160" w:after="80"/>
        <w:rPr>
          <w:rFonts w:hint="eastAsia"/>
          <w:lang w:eastAsia="zh-CN"/>
        </w:rPr>
      </w:pPr>
      <w:r>
        <w:rPr>
          <w:rFonts w:ascii="黑体" w:eastAsia="黑体" w:hAnsi="黑体"/>
          <w:b/>
          <w:sz w:val="30"/>
          <w:lang w:eastAsia="zh-CN"/>
        </w:rPr>
        <w:t>存在的主要问题及解决办法*</w:t>
      </w:r>
    </w:p>
    <w:p w14:paraId="540E9590" w14:textId="2515BA02" w:rsidR="007452C0" w:rsidRDefault="00000000">
      <w:pPr>
        <w:spacing w:after="60" w:line="348" w:lineRule="auto"/>
        <w:ind w:firstLine="420"/>
        <w:rPr>
          <w:rFonts w:hint="eastAsia"/>
          <w:lang w:eastAsia="zh-CN"/>
        </w:rPr>
      </w:pPr>
      <w:r>
        <w:rPr>
          <w:lang w:eastAsia="zh-CN"/>
        </w:rPr>
        <w:t>程序结果需要审慎解释。当前</w:t>
      </w:r>
      <w:proofErr w:type="gramStart"/>
      <w:r>
        <w:rPr>
          <w:lang w:eastAsia="zh-CN"/>
        </w:rPr>
        <w:t>持出集利润</w:t>
      </w:r>
      <w:proofErr w:type="gramEnd"/>
      <w:r>
        <w:rPr>
          <w:lang w:eastAsia="zh-CN"/>
        </w:rPr>
        <w:t>最高者并不是主策略，而是无现货修正的静态基准；这不是要回避的缺陷，而是需要结合样本阶段、现货交易摩擦、尾部风险和滚动窗口表现说明模型适用边界。后续第五章应把基准比较写成“识别策略优势和不足”的证据，而不是单向证明模型更优。</w:t>
      </w:r>
    </w:p>
    <w:p w14:paraId="4E8C90B9" w14:textId="4D8D95E0" w:rsidR="007452C0" w:rsidRDefault="00000000">
      <w:pPr>
        <w:spacing w:after="60" w:line="348" w:lineRule="auto"/>
        <w:ind w:firstLine="420"/>
        <w:rPr>
          <w:rFonts w:hint="eastAsia"/>
          <w:lang w:eastAsia="zh-CN"/>
        </w:rPr>
      </w:pPr>
      <w:r>
        <w:rPr>
          <w:lang w:eastAsia="zh-CN"/>
        </w:rPr>
        <w:t>数学模型、代码字段和论文术语之间还要继续统一。解决办法是以周度持仓、风险敞口带宽、24小时合约曲线、</w:t>
      </w:r>
      <w:proofErr w:type="gramStart"/>
      <w:r>
        <w:rPr>
          <w:lang w:eastAsia="zh-CN"/>
        </w:rPr>
        <w:t>小时级</w:t>
      </w:r>
      <w:proofErr w:type="gramEnd"/>
      <w:r>
        <w:rPr>
          <w:lang w:eastAsia="zh-CN"/>
        </w:rPr>
        <w:t>现货修正、15分钟代理结算、CVaR99和政策投影为核心术语，建立公式编号和变量表，再把程序输出字段映射到论文表格。</w:t>
      </w:r>
    </w:p>
    <w:p w14:paraId="0198FA21" w14:textId="77777777" w:rsidR="007452C0" w:rsidRDefault="00000000">
      <w:pPr>
        <w:spacing w:before="160" w:after="80"/>
        <w:rPr>
          <w:rFonts w:hint="eastAsia"/>
          <w:lang w:eastAsia="zh-CN"/>
        </w:rPr>
      </w:pPr>
      <w:r>
        <w:rPr>
          <w:rFonts w:ascii="黑体" w:eastAsia="黑体" w:hAnsi="黑体"/>
          <w:b/>
          <w:sz w:val="30"/>
          <w:lang w:eastAsia="zh-CN"/>
        </w:rPr>
        <w:t>为体现已完成的工作情况，提供下列材料*</w:t>
      </w:r>
    </w:p>
    <w:p w14:paraId="64C06D32" w14:textId="77777777" w:rsidR="007452C0" w:rsidRDefault="00000000">
      <w:pPr>
        <w:spacing w:after="60" w:line="348" w:lineRule="auto"/>
        <w:ind w:firstLine="420"/>
        <w:rPr>
          <w:rFonts w:hint="eastAsia"/>
          <w:lang w:eastAsia="zh-CN"/>
        </w:rPr>
      </w:pPr>
      <w:r>
        <w:rPr>
          <w:lang w:eastAsia="zh-CN"/>
        </w:rPr>
        <w:t>1. 开题报告完成版：已包含研究目的、文献综述、研究重点难点、研究路线、进度计划和53篇参考文献。</w:t>
      </w:r>
    </w:p>
    <w:p w14:paraId="452A139F" w14:textId="77777777" w:rsidR="007452C0" w:rsidRDefault="00000000">
      <w:pPr>
        <w:spacing w:after="60" w:line="348" w:lineRule="auto"/>
        <w:ind w:firstLine="420"/>
        <w:rPr>
          <w:rFonts w:hint="eastAsia"/>
          <w:lang w:eastAsia="zh-CN"/>
        </w:rPr>
      </w:pPr>
      <w:r>
        <w:rPr>
          <w:lang w:eastAsia="zh-CN"/>
        </w:rPr>
        <w:t>2. 附件《工作详情报告》：集中说明文献准备、数学模型与公式、算法程序实现详情和论文撰写进度。</w:t>
      </w:r>
    </w:p>
    <w:p w14:paraId="7A3F94BF" w14:textId="77777777" w:rsidR="007452C0" w:rsidRDefault="00000000">
      <w:pPr>
        <w:spacing w:after="60" w:line="348" w:lineRule="auto"/>
        <w:ind w:firstLine="420"/>
        <w:rPr>
          <w:rFonts w:hint="eastAsia"/>
          <w:lang w:eastAsia="zh-CN"/>
        </w:rPr>
      </w:pPr>
      <w:r>
        <w:rPr>
          <w:lang w:eastAsia="zh-CN"/>
        </w:rPr>
        <w:t>3. 文献材料：参考</w:t>
      </w:r>
      <w:proofErr w:type="gramStart"/>
      <w:r>
        <w:rPr>
          <w:lang w:eastAsia="zh-CN"/>
        </w:rPr>
        <w:t>文献本地</w:t>
      </w:r>
      <w:proofErr w:type="gramEnd"/>
      <w:r>
        <w:rPr>
          <w:lang w:eastAsia="zh-CN"/>
        </w:rPr>
        <w:t>全文库、RDF导出记录和开题报告参考文献表述，可用于后续引文核对。</w:t>
      </w:r>
    </w:p>
    <w:p w14:paraId="743A695B" w14:textId="77777777" w:rsidR="007452C0" w:rsidRDefault="00000000">
      <w:pPr>
        <w:spacing w:after="60" w:line="348" w:lineRule="auto"/>
        <w:ind w:firstLine="420"/>
        <w:rPr>
          <w:rFonts w:hint="eastAsia"/>
          <w:lang w:eastAsia="zh-CN"/>
        </w:rPr>
      </w:pPr>
      <w:r>
        <w:rPr>
          <w:lang w:eastAsia="zh-CN"/>
        </w:rPr>
        <w:t>4. 程序与结果材料：当前版本配置、模型参数文件、训练摘要、验证摘要、</w:t>
      </w:r>
      <w:proofErr w:type="gramStart"/>
      <w:r>
        <w:rPr>
          <w:lang w:eastAsia="zh-CN"/>
        </w:rPr>
        <w:t>滚动回测</w:t>
      </w:r>
      <w:proofErr w:type="gramEnd"/>
      <w:r>
        <w:rPr>
          <w:lang w:eastAsia="zh-CN"/>
        </w:rPr>
        <w:t>结果、基准比较、政策规则表、可行域清单、约束激活报告和远程</w:t>
      </w:r>
      <w:proofErr w:type="spellStart"/>
      <w:r>
        <w:rPr>
          <w:lang w:eastAsia="zh-CN"/>
        </w:rPr>
        <w:t>Jupyter</w:t>
      </w:r>
      <w:proofErr w:type="spellEnd"/>
      <w:r>
        <w:rPr>
          <w:lang w:eastAsia="zh-CN"/>
        </w:rPr>
        <w:t>运行记录。</w:t>
      </w:r>
    </w:p>
    <w:p w14:paraId="7FE8BF91" w14:textId="77777777" w:rsidR="007452C0" w:rsidRDefault="00000000">
      <w:pPr>
        <w:spacing w:after="60" w:line="348" w:lineRule="auto"/>
        <w:ind w:firstLine="420"/>
        <w:rPr>
          <w:rFonts w:hint="eastAsia"/>
          <w:lang w:eastAsia="zh-CN"/>
        </w:rPr>
      </w:pPr>
      <w:r>
        <w:rPr>
          <w:lang w:eastAsia="zh-CN"/>
        </w:rPr>
        <w:lastRenderedPageBreak/>
        <w:t>5. 论文写作材料：总规划、旧草稿、学校论文撰写规范和字数分配表。旧草稿只作为可筛选素材，正式正文以当前研究主线为准。</w:t>
      </w:r>
    </w:p>
    <w:sectPr w:rsidR="007452C0" w:rsidSect="00034616">
      <w:pgSz w:w="12240" w:h="15840"/>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97355106">
    <w:abstractNumId w:val="8"/>
  </w:num>
  <w:num w:numId="2" w16cid:durableId="258487958">
    <w:abstractNumId w:val="6"/>
  </w:num>
  <w:num w:numId="3" w16cid:durableId="1675956558">
    <w:abstractNumId w:val="5"/>
  </w:num>
  <w:num w:numId="4" w16cid:durableId="714937430">
    <w:abstractNumId w:val="4"/>
  </w:num>
  <w:num w:numId="5" w16cid:durableId="1907950770">
    <w:abstractNumId w:val="7"/>
  </w:num>
  <w:num w:numId="6" w16cid:durableId="1709261971">
    <w:abstractNumId w:val="3"/>
  </w:num>
  <w:num w:numId="7" w16cid:durableId="1367607555">
    <w:abstractNumId w:val="2"/>
  </w:num>
  <w:num w:numId="8" w16cid:durableId="1723626605">
    <w:abstractNumId w:val="1"/>
  </w:num>
  <w:num w:numId="9" w16cid:durableId="136270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52C0"/>
    <w:rsid w:val="00A37A39"/>
    <w:rsid w:val="00AA1D8D"/>
    <w:rsid w:val="00B47730"/>
    <w:rsid w:val="00CB0664"/>
    <w:rsid w:val="00FA40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3E5B1"/>
  <w14:defaultImageDpi w14:val="300"/>
  <w15:docId w15:val="{03633452-5D4C-407F-882E-61B20136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Xuanzhe Du</cp:lastModifiedBy>
  <cp:revision>3</cp:revision>
  <dcterms:created xsi:type="dcterms:W3CDTF">2013-12-23T23:15:00Z</dcterms:created>
  <dcterms:modified xsi:type="dcterms:W3CDTF">2026-05-06T14:10:00Z</dcterms:modified>
  <cp:category/>
</cp:coreProperties>
</file>