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74F2" w14:textId="58BE8F45" w:rsidR="00DB6CA4" w:rsidRDefault="00000000">
      <w:pPr>
        <w:jc w:val="center"/>
        <w:rPr>
          <w:rFonts w:hint="eastAsia"/>
          <w:lang w:eastAsia="zh-CN"/>
        </w:rPr>
      </w:pPr>
      <w:r>
        <w:rPr>
          <w:rFonts w:ascii="黑体" w:eastAsia="黑体" w:hAnsi="黑体"/>
          <w:b/>
          <w:sz w:val="36"/>
          <w:lang w:eastAsia="zh-CN"/>
        </w:rPr>
        <w:t>详情报告</w:t>
      </w:r>
    </w:p>
    <w:p w14:paraId="47D27DA3" w14:textId="218B3A50" w:rsidR="00DB6CA4" w:rsidRDefault="00000000">
      <w:pPr>
        <w:spacing w:before="160" w:after="80"/>
        <w:rPr>
          <w:rFonts w:hint="eastAsia"/>
          <w:lang w:eastAsia="zh-CN"/>
        </w:rPr>
      </w:pPr>
      <w:r>
        <w:rPr>
          <w:rFonts w:ascii="黑体" w:eastAsia="黑体" w:hAnsi="黑体"/>
          <w:b/>
          <w:sz w:val="30"/>
          <w:lang w:eastAsia="zh-CN"/>
        </w:rPr>
        <w:t>当前文献准备情况</w:t>
      </w:r>
    </w:p>
    <w:p w14:paraId="712AB3A6" w14:textId="77777777" w:rsidR="00DB6CA4" w:rsidRDefault="00000000">
      <w:pPr>
        <w:spacing w:after="60" w:line="348" w:lineRule="auto"/>
        <w:ind w:firstLine="420"/>
        <w:rPr>
          <w:rFonts w:hint="eastAsia"/>
          <w:lang w:eastAsia="zh-CN"/>
        </w:rPr>
      </w:pPr>
      <w:r>
        <w:rPr>
          <w:lang w:eastAsia="zh-CN"/>
        </w:rPr>
        <w:t>文献准备已经从“收集资料”进入“可支撑论文写作”的阶段。当前本地文献库包含53篇正式参考文献及53份PDF全文附件，文件签名校验结果为53/53通过，说明后续可以直接开展全文阅读、摘录和引用核对。开题报告完成版中的参考文献编号为1—53，编号连续。</w:t>
      </w:r>
    </w:p>
    <w:p w14:paraId="0E3AD48E" w14:textId="77777777" w:rsidR="00DB6CA4" w:rsidRDefault="00000000">
      <w:pPr>
        <w:spacing w:after="60" w:line="348" w:lineRule="auto"/>
        <w:ind w:firstLine="420"/>
        <w:rPr>
          <w:rFonts w:hint="eastAsia"/>
          <w:lang w:eastAsia="zh-CN"/>
        </w:rPr>
      </w:pPr>
      <w:r>
        <w:rPr>
          <w:lang w:eastAsia="zh-CN"/>
        </w:rPr>
        <w:t>文献结构与论文问题基本一致。前半部分服务于市场机制和主体边界，重点覆盖中长期合约、差价合约、现货市场衔接和售电公司购售电风险管理；中间部分覆盖新能源市场化、绿电绿证和价格机制变化；方法部分覆盖粒子群优化、混合智能优化和约束处理；风险评价部分覆盖一致性风险度量、CVaR和电力市场套期保值。预测模型和强化学习文献保留为背景，不作为当前正式算法主线。</w:t>
      </w:r>
    </w:p>
    <w:tbl>
      <w:tblPr>
        <w:tblStyle w:val="aff1"/>
        <w:tblW w:w="0" w:type="auto"/>
        <w:jc w:val="center"/>
        <w:tblLook w:val="04A0" w:firstRow="1" w:lastRow="0" w:firstColumn="1" w:lastColumn="0" w:noHBand="0" w:noVBand="1"/>
      </w:tblPr>
      <w:tblGrid>
        <w:gridCol w:w="2438"/>
        <w:gridCol w:w="3288"/>
        <w:gridCol w:w="2948"/>
      </w:tblGrid>
      <w:tr w:rsidR="00DB6CA4" w14:paraId="4C747CE2" w14:textId="77777777">
        <w:trPr>
          <w:jc w:val="center"/>
        </w:trPr>
        <w:tc>
          <w:tcPr>
            <w:tcW w:w="2438" w:type="dxa"/>
            <w:shd w:val="clear" w:color="auto" w:fill="D9EAF7"/>
            <w:vAlign w:val="center"/>
          </w:tcPr>
          <w:p w14:paraId="01F8F8C6" w14:textId="77777777" w:rsidR="00DB6CA4" w:rsidRDefault="00000000">
            <w:pPr>
              <w:spacing w:line="288" w:lineRule="auto"/>
              <w:rPr>
                <w:rFonts w:hint="eastAsia"/>
              </w:rPr>
            </w:pPr>
            <w:r>
              <w:rPr>
                <w:b/>
                <w:sz w:val="21"/>
              </w:rPr>
              <w:t>文献方向</w:t>
            </w:r>
          </w:p>
        </w:tc>
        <w:tc>
          <w:tcPr>
            <w:tcW w:w="3288" w:type="dxa"/>
            <w:shd w:val="clear" w:color="auto" w:fill="D9EAF7"/>
            <w:vAlign w:val="center"/>
          </w:tcPr>
          <w:p w14:paraId="476C6559" w14:textId="77777777" w:rsidR="00DB6CA4" w:rsidRDefault="00000000">
            <w:pPr>
              <w:spacing w:line="288" w:lineRule="auto"/>
              <w:rPr>
                <w:rFonts w:hint="eastAsia"/>
              </w:rPr>
            </w:pPr>
            <w:r>
              <w:rPr>
                <w:b/>
                <w:sz w:val="21"/>
              </w:rPr>
              <w:t>当前用途</w:t>
            </w:r>
          </w:p>
        </w:tc>
        <w:tc>
          <w:tcPr>
            <w:tcW w:w="2948" w:type="dxa"/>
            <w:shd w:val="clear" w:color="auto" w:fill="D9EAF7"/>
            <w:vAlign w:val="center"/>
          </w:tcPr>
          <w:p w14:paraId="2478E1A0" w14:textId="77777777" w:rsidR="00DB6CA4" w:rsidRDefault="00000000">
            <w:pPr>
              <w:spacing w:line="288" w:lineRule="auto"/>
              <w:rPr>
                <w:rFonts w:hint="eastAsia"/>
              </w:rPr>
            </w:pPr>
            <w:r>
              <w:rPr>
                <w:b/>
                <w:sz w:val="21"/>
              </w:rPr>
              <w:t>写作处理</w:t>
            </w:r>
          </w:p>
        </w:tc>
      </w:tr>
      <w:tr w:rsidR="00DB6CA4" w14:paraId="43D09276" w14:textId="77777777">
        <w:trPr>
          <w:jc w:val="center"/>
        </w:trPr>
        <w:tc>
          <w:tcPr>
            <w:tcW w:w="2438" w:type="dxa"/>
            <w:vAlign w:val="center"/>
          </w:tcPr>
          <w:p w14:paraId="2BE7C810" w14:textId="77777777" w:rsidR="00DB6CA4" w:rsidRDefault="00000000">
            <w:pPr>
              <w:spacing w:line="288" w:lineRule="auto"/>
              <w:rPr>
                <w:rFonts w:hint="eastAsia"/>
                <w:lang w:eastAsia="zh-CN"/>
              </w:rPr>
            </w:pPr>
            <w:r>
              <w:rPr>
                <w:sz w:val="21"/>
                <w:lang w:eastAsia="zh-CN"/>
              </w:rPr>
              <w:t>中长期合约、差价合约与现货衔接</w:t>
            </w:r>
          </w:p>
        </w:tc>
        <w:tc>
          <w:tcPr>
            <w:tcW w:w="3288" w:type="dxa"/>
            <w:vAlign w:val="center"/>
          </w:tcPr>
          <w:p w14:paraId="75F2DF1B" w14:textId="77777777" w:rsidR="00DB6CA4" w:rsidRDefault="00000000">
            <w:pPr>
              <w:spacing w:line="288" w:lineRule="auto"/>
              <w:rPr>
                <w:rFonts w:hint="eastAsia"/>
                <w:lang w:eastAsia="zh-CN"/>
              </w:rPr>
            </w:pPr>
            <w:r>
              <w:rPr>
                <w:sz w:val="21"/>
                <w:lang w:eastAsia="zh-CN"/>
              </w:rPr>
              <w:t>说明中长期合约的结算与风险管理属性</w:t>
            </w:r>
          </w:p>
        </w:tc>
        <w:tc>
          <w:tcPr>
            <w:tcW w:w="2948" w:type="dxa"/>
            <w:vAlign w:val="center"/>
          </w:tcPr>
          <w:p w14:paraId="01661216" w14:textId="77777777" w:rsidR="00DB6CA4" w:rsidRDefault="00000000">
            <w:pPr>
              <w:spacing w:line="288" w:lineRule="auto"/>
              <w:rPr>
                <w:rFonts w:hint="eastAsia"/>
                <w:lang w:eastAsia="zh-CN"/>
              </w:rPr>
            </w:pPr>
            <w:r>
              <w:rPr>
                <w:sz w:val="21"/>
                <w:lang w:eastAsia="zh-CN"/>
              </w:rPr>
              <w:t>放在第一章文献综述和第二章制度机制</w:t>
            </w:r>
          </w:p>
        </w:tc>
      </w:tr>
      <w:tr w:rsidR="00DB6CA4" w14:paraId="135E0F38" w14:textId="77777777">
        <w:trPr>
          <w:jc w:val="center"/>
        </w:trPr>
        <w:tc>
          <w:tcPr>
            <w:tcW w:w="2438" w:type="dxa"/>
            <w:vAlign w:val="center"/>
          </w:tcPr>
          <w:p w14:paraId="338F82C0" w14:textId="77777777" w:rsidR="00DB6CA4" w:rsidRDefault="00000000">
            <w:pPr>
              <w:spacing w:line="288" w:lineRule="auto"/>
              <w:rPr>
                <w:rFonts w:hint="eastAsia"/>
                <w:lang w:eastAsia="zh-CN"/>
              </w:rPr>
            </w:pPr>
            <w:r>
              <w:rPr>
                <w:sz w:val="21"/>
                <w:lang w:eastAsia="zh-CN"/>
              </w:rPr>
              <w:t>售电公司购售电决策与风险管理</w:t>
            </w:r>
          </w:p>
        </w:tc>
        <w:tc>
          <w:tcPr>
            <w:tcW w:w="3288" w:type="dxa"/>
            <w:vAlign w:val="center"/>
          </w:tcPr>
          <w:p w14:paraId="2397C270" w14:textId="77777777" w:rsidR="00DB6CA4" w:rsidRDefault="00000000">
            <w:pPr>
              <w:spacing w:line="288" w:lineRule="auto"/>
              <w:rPr>
                <w:rFonts w:hint="eastAsia"/>
                <w:lang w:eastAsia="zh-CN"/>
              </w:rPr>
            </w:pPr>
            <w:r>
              <w:rPr>
                <w:sz w:val="21"/>
                <w:lang w:eastAsia="zh-CN"/>
              </w:rPr>
              <w:t>支撑研究主体、收益链条和风险来源</w:t>
            </w:r>
          </w:p>
        </w:tc>
        <w:tc>
          <w:tcPr>
            <w:tcW w:w="2948" w:type="dxa"/>
            <w:vAlign w:val="center"/>
          </w:tcPr>
          <w:p w14:paraId="100B0F7E" w14:textId="77777777" w:rsidR="00DB6CA4" w:rsidRDefault="00000000">
            <w:pPr>
              <w:spacing w:line="288" w:lineRule="auto"/>
              <w:rPr>
                <w:rFonts w:hint="eastAsia"/>
                <w:lang w:eastAsia="zh-CN"/>
              </w:rPr>
            </w:pPr>
            <w:r>
              <w:rPr>
                <w:sz w:val="21"/>
                <w:lang w:eastAsia="zh-CN"/>
              </w:rPr>
              <w:t>放在第一章综述与第二章风险机理</w:t>
            </w:r>
          </w:p>
        </w:tc>
      </w:tr>
      <w:tr w:rsidR="00DB6CA4" w14:paraId="55D90857" w14:textId="77777777">
        <w:trPr>
          <w:jc w:val="center"/>
        </w:trPr>
        <w:tc>
          <w:tcPr>
            <w:tcW w:w="2438" w:type="dxa"/>
            <w:vAlign w:val="center"/>
          </w:tcPr>
          <w:p w14:paraId="1A7AA4E6" w14:textId="77777777" w:rsidR="00DB6CA4" w:rsidRDefault="00000000">
            <w:pPr>
              <w:spacing w:line="288" w:lineRule="auto"/>
              <w:rPr>
                <w:rFonts w:hint="eastAsia"/>
              </w:rPr>
            </w:pPr>
            <w:r>
              <w:rPr>
                <w:sz w:val="21"/>
              </w:rPr>
              <w:t>新能源市场化机制</w:t>
            </w:r>
          </w:p>
        </w:tc>
        <w:tc>
          <w:tcPr>
            <w:tcW w:w="3288" w:type="dxa"/>
            <w:vAlign w:val="center"/>
          </w:tcPr>
          <w:p w14:paraId="6E14BEF4" w14:textId="77777777" w:rsidR="00DB6CA4" w:rsidRDefault="00000000">
            <w:pPr>
              <w:spacing w:line="288" w:lineRule="auto"/>
              <w:rPr>
                <w:rFonts w:hint="eastAsia"/>
                <w:lang w:eastAsia="zh-CN"/>
              </w:rPr>
            </w:pPr>
            <w:r>
              <w:rPr>
                <w:sz w:val="21"/>
                <w:lang w:eastAsia="zh-CN"/>
              </w:rPr>
              <w:t>解释新能源扰动、价格联动和制度状态变化</w:t>
            </w:r>
          </w:p>
        </w:tc>
        <w:tc>
          <w:tcPr>
            <w:tcW w:w="2948" w:type="dxa"/>
            <w:vAlign w:val="center"/>
          </w:tcPr>
          <w:p w14:paraId="2CEE87B5" w14:textId="77777777" w:rsidR="00DB6CA4" w:rsidRDefault="00000000">
            <w:pPr>
              <w:spacing w:line="288" w:lineRule="auto"/>
              <w:rPr>
                <w:rFonts w:hint="eastAsia"/>
                <w:lang w:eastAsia="zh-CN"/>
              </w:rPr>
            </w:pPr>
            <w:r>
              <w:rPr>
                <w:sz w:val="21"/>
                <w:lang w:eastAsia="zh-CN"/>
              </w:rPr>
              <w:t>放在第二章制度背景和第三章状态变量</w:t>
            </w:r>
          </w:p>
        </w:tc>
      </w:tr>
      <w:tr w:rsidR="00DB6CA4" w14:paraId="71C45E3E" w14:textId="77777777">
        <w:trPr>
          <w:jc w:val="center"/>
        </w:trPr>
        <w:tc>
          <w:tcPr>
            <w:tcW w:w="2438" w:type="dxa"/>
            <w:vAlign w:val="center"/>
          </w:tcPr>
          <w:p w14:paraId="0221C66E" w14:textId="77777777" w:rsidR="00DB6CA4" w:rsidRDefault="00000000">
            <w:pPr>
              <w:spacing w:line="288" w:lineRule="auto"/>
              <w:rPr>
                <w:rFonts w:hint="eastAsia"/>
              </w:rPr>
            </w:pPr>
            <w:r>
              <w:rPr>
                <w:sz w:val="21"/>
              </w:rPr>
              <w:t>PSO/HPSO与约束处理</w:t>
            </w:r>
          </w:p>
        </w:tc>
        <w:tc>
          <w:tcPr>
            <w:tcW w:w="3288" w:type="dxa"/>
            <w:vAlign w:val="center"/>
          </w:tcPr>
          <w:p w14:paraId="64C60EC0" w14:textId="77777777" w:rsidR="00DB6CA4" w:rsidRDefault="00000000">
            <w:pPr>
              <w:spacing w:line="288" w:lineRule="auto"/>
              <w:rPr>
                <w:rFonts w:hint="eastAsia"/>
                <w:lang w:eastAsia="zh-CN"/>
              </w:rPr>
            </w:pPr>
            <w:r>
              <w:rPr>
                <w:sz w:val="21"/>
                <w:lang w:eastAsia="zh-CN"/>
              </w:rPr>
              <w:t>支撑双层参数化搜索和投影机制</w:t>
            </w:r>
          </w:p>
        </w:tc>
        <w:tc>
          <w:tcPr>
            <w:tcW w:w="2948" w:type="dxa"/>
            <w:vAlign w:val="center"/>
          </w:tcPr>
          <w:p w14:paraId="1D30BCB6" w14:textId="77777777" w:rsidR="00DB6CA4" w:rsidRDefault="00000000">
            <w:pPr>
              <w:spacing w:line="288" w:lineRule="auto"/>
              <w:rPr>
                <w:rFonts w:hint="eastAsia"/>
              </w:rPr>
            </w:pPr>
            <w:r>
              <w:rPr>
                <w:sz w:val="21"/>
              </w:rPr>
              <w:t>放在第四章算法方法</w:t>
            </w:r>
          </w:p>
        </w:tc>
      </w:tr>
      <w:tr w:rsidR="00DB6CA4" w14:paraId="2B8C7A15" w14:textId="77777777">
        <w:trPr>
          <w:jc w:val="center"/>
        </w:trPr>
        <w:tc>
          <w:tcPr>
            <w:tcW w:w="2438" w:type="dxa"/>
            <w:vAlign w:val="center"/>
          </w:tcPr>
          <w:p w14:paraId="15605F58" w14:textId="77777777" w:rsidR="00DB6CA4" w:rsidRDefault="00000000">
            <w:pPr>
              <w:spacing w:line="288" w:lineRule="auto"/>
              <w:rPr>
                <w:rFonts w:hint="eastAsia"/>
                <w:lang w:eastAsia="zh-CN"/>
              </w:rPr>
            </w:pPr>
            <w:r>
              <w:rPr>
                <w:sz w:val="21"/>
                <w:lang w:eastAsia="zh-CN"/>
              </w:rPr>
              <w:t>CVaR与尾部风险评价</w:t>
            </w:r>
          </w:p>
        </w:tc>
        <w:tc>
          <w:tcPr>
            <w:tcW w:w="3288" w:type="dxa"/>
            <w:vAlign w:val="center"/>
          </w:tcPr>
          <w:p w14:paraId="2D367F52" w14:textId="77777777" w:rsidR="00DB6CA4" w:rsidRDefault="00000000">
            <w:pPr>
              <w:spacing w:line="288" w:lineRule="auto"/>
              <w:rPr>
                <w:rFonts w:hint="eastAsia"/>
                <w:lang w:eastAsia="zh-CN"/>
              </w:rPr>
            </w:pPr>
            <w:r>
              <w:rPr>
                <w:sz w:val="21"/>
                <w:lang w:eastAsia="zh-CN"/>
              </w:rPr>
              <w:t>支撑目标函数和评价指标</w:t>
            </w:r>
          </w:p>
        </w:tc>
        <w:tc>
          <w:tcPr>
            <w:tcW w:w="2948" w:type="dxa"/>
            <w:vAlign w:val="center"/>
          </w:tcPr>
          <w:p w14:paraId="1EBF4A27" w14:textId="77777777" w:rsidR="00DB6CA4" w:rsidRDefault="00000000">
            <w:pPr>
              <w:spacing w:line="288" w:lineRule="auto"/>
              <w:rPr>
                <w:rFonts w:hint="eastAsia"/>
                <w:lang w:eastAsia="zh-CN"/>
              </w:rPr>
            </w:pPr>
            <w:r>
              <w:rPr>
                <w:sz w:val="21"/>
                <w:lang w:eastAsia="zh-CN"/>
              </w:rPr>
              <w:t>放在第三章模型与第五章实证评价</w:t>
            </w:r>
          </w:p>
        </w:tc>
      </w:tr>
      <w:tr w:rsidR="00DB6CA4" w14:paraId="7982DCA8" w14:textId="77777777">
        <w:trPr>
          <w:jc w:val="center"/>
        </w:trPr>
        <w:tc>
          <w:tcPr>
            <w:tcW w:w="2438" w:type="dxa"/>
            <w:vAlign w:val="center"/>
          </w:tcPr>
          <w:p w14:paraId="47344F25" w14:textId="77777777" w:rsidR="00DB6CA4" w:rsidRDefault="00000000">
            <w:pPr>
              <w:spacing w:line="288" w:lineRule="auto"/>
              <w:rPr>
                <w:rFonts w:hint="eastAsia"/>
              </w:rPr>
            </w:pPr>
            <w:r>
              <w:rPr>
                <w:sz w:val="21"/>
              </w:rPr>
              <w:t>预测与强化学习背景</w:t>
            </w:r>
          </w:p>
        </w:tc>
        <w:tc>
          <w:tcPr>
            <w:tcW w:w="3288" w:type="dxa"/>
            <w:vAlign w:val="center"/>
          </w:tcPr>
          <w:p w14:paraId="3CCD1E46" w14:textId="77777777" w:rsidR="00DB6CA4" w:rsidRDefault="00000000">
            <w:pPr>
              <w:spacing w:line="288" w:lineRule="auto"/>
              <w:rPr>
                <w:rFonts w:hint="eastAsia"/>
                <w:lang w:eastAsia="zh-CN"/>
              </w:rPr>
            </w:pPr>
            <w:r>
              <w:rPr>
                <w:sz w:val="21"/>
                <w:lang w:eastAsia="zh-CN"/>
              </w:rPr>
              <w:t>作为动态决策和状态设计的参考</w:t>
            </w:r>
          </w:p>
        </w:tc>
        <w:tc>
          <w:tcPr>
            <w:tcW w:w="2948" w:type="dxa"/>
            <w:vAlign w:val="center"/>
          </w:tcPr>
          <w:p w14:paraId="240F497C" w14:textId="77777777" w:rsidR="00DB6CA4" w:rsidRDefault="00000000">
            <w:pPr>
              <w:spacing w:line="288" w:lineRule="auto"/>
              <w:rPr>
                <w:rFonts w:hint="eastAsia"/>
                <w:lang w:eastAsia="zh-CN"/>
              </w:rPr>
            </w:pPr>
            <w:r>
              <w:rPr>
                <w:sz w:val="21"/>
                <w:lang w:eastAsia="zh-CN"/>
              </w:rPr>
              <w:t>不写成当前正式方法主线</w:t>
            </w:r>
          </w:p>
        </w:tc>
      </w:tr>
    </w:tbl>
    <w:p w14:paraId="2C58053B" w14:textId="77777777" w:rsidR="00DB6CA4" w:rsidRDefault="00DB6CA4">
      <w:pPr>
        <w:rPr>
          <w:rFonts w:hint="eastAsia"/>
          <w:lang w:eastAsia="zh-CN"/>
        </w:rPr>
      </w:pPr>
    </w:p>
    <w:p w14:paraId="47CD6700" w14:textId="77777777" w:rsidR="00DB6CA4" w:rsidRDefault="00000000">
      <w:pPr>
        <w:spacing w:after="60" w:line="348" w:lineRule="auto"/>
        <w:ind w:firstLine="420"/>
        <w:rPr>
          <w:rFonts w:hint="eastAsia"/>
          <w:lang w:eastAsia="zh-CN"/>
        </w:rPr>
      </w:pPr>
      <w:r>
        <w:rPr>
          <w:lang w:eastAsia="zh-CN"/>
        </w:rPr>
        <w:t>下一步文献工作不是继续盲目扩充数量，而是做三件具体事：核对每条文献的正文引用位置；把同类文献压缩成有观点的综述段落；检查中文期刊、英文期刊和会议论文的格式是否一致。</w:t>
      </w:r>
    </w:p>
    <w:p w14:paraId="2DF5382D" w14:textId="7548C648" w:rsidR="00DB6CA4" w:rsidRDefault="00000000">
      <w:pPr>
        <w:spacing w:before="160" w:after="80"/>
        <w:rPr>
          <w:rFonts w:hint="eastAsia"/>
          <w:lang w:eastAsia="zh-CN"/>
        </w:rPr>
      </w:pPr>
      <w:r>
        <w:rPr>
          <w:rFonts w:ascii="黑体" w:eastAsia="黑体" w:hAnsi="黑体"/>
          <w:b/>
          <w:sz w:val="30"/>
          <w:lang w:eastAsia="zh-CN"/>
        </w:rPr>
        <w:t>数学模型与公式详细说明</w:t>
      </w:r>
    </w:p>
    <w:p w14:paraId="3378F3A2" w14:textId="55A31731" w:rsidR="00DB6CA4" w:rsidRDefault="00000000">
      <w:pPr>
        <w:spacing w:after="60" w:line="348" w:lineRule="auto"/>
        <w:ind w:firstLine="420"/>
        <w:rPr>
          <w:rFonts w:hint="eastAsia"/>
          <w:lang w:eastAsia="zh-CN"/>
        </w:rPr>
      </w:pPr>
      <w:r>
        <w:rPr>
          <w:lang w:eastAsia="zh-CN"/>
        </w:rPr>
        <w:t>本研究的数学模型</w:t>
      </w:r>
      <w:r w:rsidR="009845E0">
        <w:rPr>
          <w:rFonts w:hint="eastAsia"/>
          <w:lang w:eastAsia="zh-CN"/>
        </w:rPr>
        <w:t>如下：</w:t>
      </w:r>
      <w:r>
        <w:rPr>
          <w:lang w:eastAsia="zh-CN"/>
        </w:rPr>
        <w:t>周度层负责确定中长期底仓和风险预算，小时层负责把短期市场信号转化为现货边际修正，15分钟层负责把这些决策还原到结算口径。这样处理的原因是：中长期合约在湖南市场中主要承担结算和风险管理作用，现货市场反映边际价格。</w:t>
      </w:r>
    </w:p>
    <w:p w14:paraId="42276D29" w14:textId="03EBB358" w:rsidR="00DB6CA4" w:rsidRDefault="00000000" w:rsidP="000D0E39">
      <w:pPr>
        <w:spacing w:before="160" w:after="80"/>
        <w:ind w:firstLineChars="300" w:firstLine="783"/>
        <w:rPr>
          <w:rFonts w:hint="eastAsia"/>
          <w:lang w:eastAsia="zh-CN"/>
        </w:rPr>
      </w:pPr>
      <w:r>
        <w:rPr>
          <w:rFonts w:ascii="黑体" w:eastAsia="黑体" w:hAnsi="黑体"/>
          <w:b/>
          <w:sz w:val="26"/>
          <w:lang w:eastAsia="zh-CN"/>
        </w:rPr>
        <w:t>时间索引、核心变量与经济含义</w:t>
      </w:r>
    </w:p>
    <w:tbl>
      <w:tblPr>
        <w:tblStyle w:val="aff1"/>
        <w:tblW w:w="0" w:type="auto"/>
        <w:jc w:val="center"/>
        <w:tblLook w:val="04A0" w:firstRow="1" w:lastRow="0" w:firstColumn="1" w:lastColumn="0" w:noHBand="0" w:noVBand="1"/>
      </w:tblPr>
      <w:tblGrid>
        <w:gridCol w:w="1216"/>
        <w:gridCol w:w="2381"/>
        <w:gridCol w:w="4649"/>
      </w:tblGrid>
      <w:tr w:rsidR="00DB6CA4" w14:paraId="47BB56E1" w14:textId="77777777">
        <w:trPr>
          <w:jc w:val="center"/>
        </w:trPr>
        <w:tc>
          <w:tcPr>
            <w:tcW w:w="1134" w:type="dxa"/>
            <w:shd w:val="clear" w:color="auto" w:fill="D9EAF7"/>
            <w:vAlign w:val="center"/>
          </w:tcPr>
          <w:p w14:paraId="7D939987" w14:textId="77777777" w:rsidR="00DB6CA4" w:rsidRDefault="00000000">
            <w:pPr>
              <w:spacing w:line="288" w:lineRule="auto"/>
              <w:rPr>
                <w:rFonts w:hint="eastAsia"/>
              </w:rPr>
            </w:pPr>
            <w:r>
              <w:rPr>
                <w:b/>
                <w:sz w:val="20"/>
              </w:rPr>
              <w:lastRenderedPageBreak/>
              <w:t>符号</w:t>
            </w:r>
          </w:p>
        </w:tc>
        <w:tc>
          <w:tcPr>
            <w:tcW w:w="2381" w:type="dxa"/>
            <w:shd w:val="clear" w:color="auto" w:fill="D9EAF7"/>
            <w:vAlign w:val="center"/>
          </w:tcPr>
          <w:p w14:paraId="2275D5DE" w14:textId="77777777" w:rsidR="00DB6CA4" w:rsidRDefault="00000000">
            <w:pPr>
              <w:spacing w:line="288" w:lineRule="auto"/>
              <w:rPr>
                <w:rFonts w:hint="eastAsia"/>
              </w:rPr>
            </w:pPr>
            <w:r>
              <w:rPr>
                <w:b/>
                <w:sz w:val="20"/>
              </w:rPr>
              <w:t>含义</w:t>
            </w:r>
          </w:p>
        </w:tc>
        <w:tc>
          <w:tcPr>
            <w:tcW w:w="4649" w:type="dxa"/>
            <w:shd w:val="clear" w:color="auto" w:fill="D9EAF7"/>
            <w:vAlign w:val="center"/>
          </w:tcPr>
          <w:p w14:paraId="1D9A6903" w14:textId="77777777" w:rsidR="00DB6CA4" w:rsidRDefault="00000000">
            <w:pPr>
              <w:spacing w:line="288" w:lineRule="auto"/>
              <w:rPr>
                <w:rFonts w:hint="eastAsia"/>
              </w:rPr>
            </w:pPr>
            <w:r>
              <w:rPr>
                <w:b/>
                <w:sz w:val="20"/>
              </w:rPr>
              <w:t>在模型中的作用</w:t>
            </w:r>
          </w:p>
        </w:tc>
      </w:tr>
      <w:tr w:rsidR="00DB6CA4" w14:paraId="47235FCC" w14:textId="77777777">
        <w:trPr>
          <w:jc w:val="center"/>
        </w:trPr>
        <w:tc>
          <w:tcPr>
            <w:tcW w:w="1134" w:type="dxa"/>
            <w:vAlign w:val="center"/>
          </w:tcPr>
          <w:p w14:paraId="7900D7D1" w14:textId="77777777" w:rsidR="00DB6CA4" w:rsidRDefault="00000000">
            <w:pPr>
              <w:spacing w:line="288" w:lineRule="auto"/>
              <w:rPr>
                <w:rFonts w:hint="eastAsia"/>
              </w:rPr>
            </w:pPr>
            <w:r>
              <w:rPr>
                <w:sz w:val="20"/>
              </w:rPr>
              <w:t>w</w:t>
            </w:r>
          </w:p>
        </w:tc>
        <w:tc>
          <w:tcPr>
            <w:tcW w:w="2381" w:type="dxa"/>
            <w:vAlign w:val="center"/>
          </w:tcPr>
          <w:p w14:paraId="30646437" w14:textId="77777777" w:rsidR="00DB6CA4" w:rsidRDefault="00000000">
            <w:pPr>
              <w:spacing w:line="288" w:lineRule="auto"/>
              <w:rPr>
                <w:rFonts w:hint="eastAsia"/>
              </w:rPr>
            </w:pPr>
            <w:r>
              <w:rPr>
                <w:sz w:val="20"/>
              </w:rPr>
              <w:t>周度索引</w:t>
            </w:r>
          </w:p>
        </w:tc>
        <w:tc>
          <w:tcPr>
            <w:tcW w:w="4649" w:type="dxa"/>
            <w:vAlign w:val="center"/>
          </w:tcPr>
          <w:p w14:paraId="16654C0E" w14:textId="77777777" w:rsidR="00DB6CA4" w:rsidRDefault="00000000">
            <w:pPr>
              <w:spacing w:line="288" w:lineRule="auto"/>
              <w:rPr>
                <w:rFonts w:hint="eastAsia"/>
                <w:lang w:eastAsia="zh-CN"/>
              </w:rPr>
            </w:pPr>
            <w:r>
              <w:rPr>
                <w:sz w:val="20"/>
                <w:lang w:eastAsia="zh-CN"/>
              </w:rPr>
              <w:t>上层中长期持仓和风险敞口带宽的决策周期</w:t>
            </w:r>
          </w:p>
        </w:tc>
      </w:tr>
      <w:tr w:rsidR="00DB6CA4" w14:paraId="45CC2E16" w14:textId="77777777">
        <w:trPr>
          <w:jc w:val="center"/>
        </w:trPr>
        <w:tc>
          <w:tcPr>
            <w:tcW w:w="1134" w:type="dxa"/>
            <w:vAlign w:val="center"/>
          </w:tcPr>
          <w:p w14:paraId="331EDD1E" w14:textId="77777777" w:rsidR="00DB6CA4" w:rsidRDefault="00000000">
            <w:pPr>
              <w:spacing w:line="288" w:lineRule="auto"/>
              <w:rPr>
                <w:rFonts w:hint="eastAsia"/>
              </w:rPr>
            </w:pPr>
            <w:r>
              <w:rPr>
                <w:sz w:val="20"/>
              </w:rPr>
              <w:t>h</w:t>
            </w:r>
          </w:p>
        </w:tc>
        <w:tc>
          <w:tcPr>
            <w:tcW w:w="2381" w:type="dxa"/>
            <w:vAlign w:val="center"/>
          </w:tcPr>
          <w:p w14:paraId="421590BB" w14:textId="77777777" w:rsidR="00DB6CA4" w:rsidRDefault="00000000">
            <w:pPr>
              <w:spacing w:line="288" w:lineRule="auto"/>
              <w:rPr>
                <w:rFonts w:hint="eastAsia"/>
              </w:rPr>
            </w:pPr>
            <w:r>
              <w:rPr>
                <w:sz w:val="20"/>
              </w:rPr>
              <w:t>小时索引</w:t>
            </w:r>
          </w:p>
        </w:tc>
        <w:tc>
          <w:tcPr>
            <w:tcW w:w="4649" w:type="dxa"/>
            <w:vAlign w:val="center"/>
          </w:tcPr>
          <w:p w14:paraId="505E1EB0" w14:textId="77777777" w:rsidR="00DB6CA4" w:rsidRDefault="00000000">
            <w:pPr>
              <w:spacing w:line="288" w:lineRule="auto"/>
              <w:rPr>
                <w:rFonts w:hint="eastAsia"/>
                <w:lang w:eastAsia="zh-CN"/>
              </w:rPr>
            </w:pPr>
            <w:r>
              <w:rPr>
                <w:sz w:val="20"/>
                <w:lang w:eastAsia="zh-CN"/>
              </w:rPr>
              <w:t>下层现货边际修正的内部决策粒度</w:t>
            </w:r>
          </w:p>
        </w:tc>
      </w:tr>
      <w:tr w:rsidR="00DB6CA4" w14:paraId="332400A4" w14:textId="77777777">
        <w:trPr>
          <w:jc w:val="center"/>
        </w:trPr>
        <w:tc>
          <w:tcPr>
            <w:tcW w:w="1134" w:type="dxa"/>
            <w:vAlign w:val="center"/>
          </w:tcPr>
          <w:p w14:paraId="4510EE43" w14:textId="77777777" w:rsidR="00DB6CA4" w:rsidRDefault="00000000">
            <w:pPr>
              <w:spacing w:line="288" w:lineRule="auto"/>
              <w:rPr>
                <w:rFonts w:hint="eastAsia"/>
              </w:rPr>
            </w:pPr>
            <w:r>
              <w:rPr>
                <w:sz w:val="20"/>
              </w:rPr>
              <w:t>t</w:t>
            </w:r>
          </w:p>
        </w:tc>
        <w:tc>
          <w:tcPr>
            <w:tcW w:w="2381" w:type="dxa"/>
            <w:vAlign w:val="center"/>
          </w:tcPr>
          <w:p w14:paraId="35916C3D" w14:textId="77777777" w:rsidR="00DB6CA4" w:rsidRDefault="00000000">
            <w:pPr>
              <w:spacing w:line="288" w:lineRule="auto"/>
              <w:rPr>
                <w:rFonts w:hint="eastAsia"/>
              </w:rPr>
            </w:pPr>
            <w:r>
              <w:rPr>
                <w:sz w:val="20"/>
              </w:rPr>
              <w:t>15分钟索引</w:t>
            </w:r>
          </w:p>
        </w:tc>
        <w:tc>
          <w:tcPr>
            <w:tcW w:w="4649" w:type="dxa"/>
            <w:vAlign w:val="center"/>
          </w:tcPr>
          <w:p w14:paraId="26F22938" w14:textId="77777777" w:rsidR="00DB6CA4" w:rsidRDefault="00000000">
            <w:pPr>
              <w:spacing w:line="288" w:lineRule="auto"/>
              <w:rPr>
                <w:rFonts w:hint="eastAsia"/>
                <w:lang w:eastAsia="zh-CN"/>
              </w:rPr>
            </w:pPr>
            <w:r>
              <w:rPr>
                <w:sz w:val="20"/>
                <w:lang w:eastAsia="zh-CN"/>
              </w:rPr>
              <w:t>结算回测和风险评价的最细粒度</w:t>
            </w:r>
          </w:p>
        </w:tc>
      </w:tr>
      <w:tr w:rsidR="00DB6CA4" w14:paraId="60B91BF6" w14:textId="77777777">
        <w:trPr>
          <w:jc w:val="center"/>
        </w:trPr>
        <w:tc>
          <w:tcPr>
            <w:tcW w:w="1134" w:type="dxa"/>
            <w:vAlign w:val="center"/>
          </w:tcPr>
          <w:p w14:paraId="07396F5E" w14:textId="77777777" w:rsidR="00DB6CA4" w:rsidRDefault="00000000">
            <w:pPr>
              <w:spacing w:line="288" w:lineRule="auto"/>
              <w:rPr>
                <w:rFonts w:hint="eastAsia"/>
              </w:rPr>
            </w:pPr>
            <w:r>
              <w:rPr>
                <w:sz w:val="20"/>
              </w:rPr>
              <w:t>D_w</w:t>
            </w:r>
          </w:p>
        </w:tc>
        <w:tc>
          <w:tcPr>
            <w:tcW w:w="2381" w:type="dxa"/>
            <w:vAlign w:val="center"/>
          </w:tcPr>
          <w:p w14:paraId="4172302E" w14:textId="77777777" w:rsidR="00DB6CA4" w:rsidRDefault="00000000">
            <w:pPr>
              <w:spacing w:line="288" w:lineRule="auto"/>
              <w:rPr>
                <w:rFonts w:hint="eastAsia"/>
                <w:lang w:eastAsia="zh-CN"/>
              </w:rPr>
            </w:pPr>
            <w:r>
              <w:rPr>
                <w:sz w:val="20"/>
                <w:lang w:eastAsia="zh-CN"/>
              </w:rPr>
              <w:t>第w周预测净需求电量</w:t>
            </w:r>
          </w:p>
        </w:tc>
        <w:tc>
          <w:tcPr>
            <w:tcW w:w="4649" w:type="dxa"/>
            <w:vAlign w:val="center"/>
          </w:tcPr>
          <w:p w14:paraId="54AF360B" w14:textId="77777777" w:rsidR="00DB6CA4" w:rsidRDefault="00000000">
            <w:pPr>
              <w:spacing w:line="288" w:lineRule="auto"/>
              <w:rPr>
                <w:rFonts w:hint="eastAsia"/>
                <w:lang w:eastAsia="zh-CN"/>
              </w:rPr>
            </w:pPr>
            <w:r>
              <w:rPr>
                <w:sz w:val="20"/>
                <w:lang w:eastAsia="zh-CN"/>
              </w:rPr>
              <w:t>确定基础底仓和持仓比例的规模基准</w:t>
            </w:r>
          </w:p>
        </w:tc>
      </w:tr>
      <w:tr w:rsidR="00DB6CA4" w14:paraId="2281BC30" w14:textId="77777777">
        <w:trPr>
          <w:jc w:val="center"/>
        </w:trPr>
        <w:tc>
          <w:tcPr>
            <w:tcW w:w="1134" w:type="dxa"/>
            <w:vAlign w:val="center"/>
          </w:tcPr>
          <w:p w14:paraId="38728FA6" w14:textId="77777777" w:rsidR="00DB6CA4" w:rsidRDefault="00000000">
            <w:pPr>
              <w:spacing w:line="288" w:lineRule="auto"/>
              <w:rPr>
                <w:rFonts w:hint="eastAsia"/>
              </w:rPr>
            </w:pPr>
            <w:r>
              <w:rPr>
                <w:sz w:val="20"/>
              </w:rPr>
              <w:t>X_w</w:t>
            </w:r>
          </w:p>
        </w:tc>
        <w:tc>
          <w:tcPr>
            <w:tcW w:w="2381" w:type="dxa"/>
            <w:vAlign w:val="center"/>
          </w:tcPr>
          <w:p w14:paraId="1DFDA0A2" w14:textId="77777777" w:rsidR="00DB6CA4" w:rsidRDefault="00000000">
            <w:pPr>
              <w:spacing w:line="288" w:lineRule="auto"/>
              <w:rPr>
                <w:rFonts w:hint="eastAsia"/>
              </w:rPr>
            </w:pPr>
            <w:r>
              <w:rPr>
                <w:sz w:val="20"/>
              </w:rPr>
              <w:t>周度市场特征</w:t>
            </w:r>
          </w:p>
        </w:tc>
        <w:tc>
          <w:tcPr>
            <w:tcW w:w="4649" w:type="dxa"/>
            <w:vAlign w:val="center"/>
          </w:tcPr>
          <w:p w14:paraId="26082BB6" w14:textId="77777777" w:rsidR="00DB6CA4" w:rsidRDefault="00000000">
            <w:pPr>
              <w:spacing w:line="288" w:lineRule="auto"/>
              <w:rPr>
                <w:rFonts w:hint="eastAsia"/>
                <w:lang w:eastAsia="zh-CN"/>
              </w:rPr>
            </w:pPr>
            <w:r>
              <w:rPr>
                <w:sz w:val="20"/>
                <w:lang w:eastAsia="zh-CN"/>
              </w:rPr>
              <w:t>包含历史价格、负荷偏差、价差和波动信息</w:t>
            </w:r>
          </w:p>
        </w:tc>
      </w:tr>
      <w:tr w:rsidR="00DB6CA4" w14:paraId="5BF6A710" w14:textId="77777777">
        <w:trPr>
          <w:jc w:val="center"/>
        </w:trPr>
        <w:tc>
          <w:tcPr>
            <w:tcW w:w="1134" w:type="dxa"/>
            <w:vAlign w:val="center"/>
          </w:tcPr>
          <w:p w14:paraId="661D3375" w14:textId="77777777" w:rsidR="00DB6CA4" w:rsidRDefault="00000000">
            <w:pPr>
              <w:spacing w:line="288" w:lineRule="auto"/>
              <w:rPr>
                <w:rFonts w:hint="eastAsia"/>
              </w:rPr>
            </w:pPr>
            <w:r>
              <w:rPr>
                <w:sz w:val="20"/>
              </w:rPr>
              <w:t>S_w</w:t>
            </w:r>
          </w:p>
        </w:tc>
        <w:tc>
          <w:tcPr>
            <w:tcW w:w="2381" w:type="dxa"/>
            <w:vAlign w:val="center"/>
          </w:tcPr>
          <w:p w14:paraId="094C0E49" w14:textId="77777777" w:rsidR="00DB6CA4" w:rsidRDefault="00000000">
            <w:pPr>
              <w:spacing w:line="288" w:lineRule="auto"/>
              <w:rPr>
                <w:rFonts w:hint="eastAsia"/>
                <w:lang w:eastAsia="zh-CN"/>
              </w:rPr>
            </w:pPr>
            <w:r>
              <w:rPr>
                <w:sz w:val="20"/>
                <w:lang w:eastAsia="zh-CN"/>
              </w:rPr>
              <w:t>制度状态和前瞻制度状态</w:t>
            </w:r>
          </w:p>
        </w:tc>
        <w:tc>
          <w:tcPr>
            <w:tcW w:w="4649" w:type="dxa"/>
            <w:vAlign w:val="center"/>
          </w:tcPr>
          <w:p w14:paraId="45CCC6E2" w14:textId="77777777" w:rsidR="00DB6CA4" w:rsidRDefault="00000000">
            <w:pPr>
              <w:spacing w:line="288" w:lineRule="auto"/>
              <w:rPr>
                <w:rFonts w:hint="eastAsia"/>
                <w:lang w:eastAsia="zh-CN"/>
              </w:rPr>
            </w:pPr>
            <w:r>
              <w:rPr>
                <w:sz w:val="20"/>
                <w:lang w:eastAsia="zh-CN"/>
              </w:rPr>
              <w:t>把政策生效时点和制度约束带入动作边界</w:t>
            </w:r>
          </w:p>
        </w:tc>
      </w:tr>
      <w:tr w:rsidR="00DB6CA4" w14:paraId="23825DFD" w14:textId="77777777">
        <w:trPr>
          <w:jc w:val="center"/>
        </w:trPr>
        <w:tc>
          <w:tcPr>
            <w:tcW w:w="1134" w:type="dxa"/>
            <w:vAlign w:val="center"/>
          </w:tcPr>
          <w:p w14:paraId="2073FE49" w14:textId="77777777" w:rsidR="00DB6CA4" w:rsidRDefault="00000000">
            <w:pPr>
              <w:spacing w:line="288" w:lineRule="auto"/>
              <w:rPr>
                <w:rFonts w:hint="eastAsia"/>
              </w:rPr>
            </w:pPr>
            <w:r>
              <w:rPr>
                <w:sz w:val="20"/>
              </w:rPr>
              <w:t>Q_w^LT</w:t>
            </w:r>
          </w:p>
        </w:tc>
        <w:tc>
          <w:tcPr>
            <w:tcW w:w="2381" w:type="dxa"/>
            <w:vAlign w:val="center"/>
          </w:tcPr>
          <w:p w14:paraId="1CEEF875" w14:textId="77777777" w:rsidR="00DB6CA4" w:rsidRDefault="00000000">
            <w:pPr>
              <w:spacing w:line="288" w:lineRule="auto"/>
              <w:rPr>
                <w:rFonts w:hint="eastAsia"/>
                <w:lang w:eastAsia="zh-CN"/>
              </w:rPr>
            </w:pPr>
            <w:r>
              <w:rPr>
                <w:sz w:val="20"/>
                <w:lang w:eastAsia="zh-CN"/>
              </w:rPr>
              <w:t>第w周中长期合约持仓</w:t>
            </w:r>
          </w:p>
        </w:tc>
        <w:tc>
          <w:tcPr>
            <w:tcW w:w="4649" w:type="dxa"/>
            <w:vAlign w:val="center"/>
          </w:tcPr>
          <w:p w14:paraId="16BE745A" w14:textId="77777777" w:rsidR="00DB6CA4" w:rsidRDefault="00000000">
            <w:pPr>
              <w:spacing w:line="288" w:lineRule="auto"/>
              <w:rPr>
                <w:rFonts w:hint="eastAsia"/>
                <w:lang w:eastAsia="zh-CN"/>
              </w:rPr>
            </w:pPr>
            <w:r>
              <w:rPr>
                <w:sz w:val="20"/>
                <w:lang w:eastAsia="zh-CN"/>
              </w:rPr>
              <w:t>售电公司用于稳定采购成本的基础头寸</w:t>
            </w:r>
          </w:p>
        </w:tc>
      </w:tr>
      <w:tr w:rsidR="00DB6CA4" w14:paraId="2D66EFF6" w14:textId="77777777">
        <w:trPr>
          <w:jc w:val="center"/>
        </w:trPr>
        <w:tc>
          <w:tcPr>
            <w:tcW w:w="1134" w:type="dxa"/>
            <w:vAlign w:val="center"/>
          </w:tcPr>
          <w:p w14:paraId="5B5C7CB7" w14:textId="77777777" w:rsidR="00DB6CA4" w:rsidRDefault="00000000">
            <w:pPr>
              <w:spacing w:line="288" w:lineRule="auto"/>
              <w:rPr>
                <w:rFonts w:hint="eastAsia"/>
              </w:rPr>
            </w:pPr>
            <w:r>
              <w:rPr>
                <w:sz w:val="20"/>
              </w:rPr>
              <w:t>B_w</w:t>
            </w:r>
          </w:p>
        </w:tc>
        <w:tc>
          <w:tcPr>
            <w:tcW w:w="2381" w:type="dxa"/>
            <w:vAlign w:val="center"/>
          </w:tcPr>
          <w:p w14:paraId="06294F1A" w14:textId="77777777" w:rsidR="00DB6CA4" w:rsidRDefault="00000000">
            <w:pPr>
              <w:spacing w:line="288" w:lineRule="auto"/>
              <w:rPr>
                <w:rFonts w:hint="eastAsia"/>
                <w:lang w:eastAsia="zh-CN"/>
              </w:rPr>
            </w:pPr>
            <w:r>
              <w:rPr>
                <w:sz w:val="20"/>
                <w:lang w:eastAsia="zh-CN"/>
              </w:rPr>
              <w:t>第w周现货风险敞口带宽</w:t>
            </w:r>
          </w:p>
        </w:tc>
        <w:tc>
          <w:tcPr>
            <w:tcW w:w="4649" w:type="dxa"/>
            <w:vAlign w:val="center"/>
          </w:tcPr>
          <w:p w14:paraId="79CC4B05" w14:textId="77777777" w:rsidR="00DB6CA4" w:rsidRDefault="00000000">
            <w:pPr>
              <w:spacing w:line="288" w:lineRule="auto"/>
              <w:rPr>
                <w:rFonts w:hint="eastAsia"/>
                <w:lang w:eastAsia="zh-CN"/>
              </w:rPr>
            </w:pPr>
            <w:r>
              <w:rPr>
                <w:sz w:val="20"/>
                <w:lang w:eastAsia="zh-CN"/>
              </w:rPr>
              <w:t>限制小时级现货修正总强度，避免过度交易</w:t>
            </w:r>
          </w:p>
        </w:tc>
      </w:tr>
      <w:tr w:rsidR="00DB6CA4" w14:paraId="4F750C04" w14:textId="77777777">
        <w:trPr>
          <w:jc w:val="center"/>
        </w:trPr>
        <w:tc>
          <w:tcPr>
            <w:tcW w:w="1134" w:type="dxa"/>
            <w:vAlign w:val="center"/>
          </w:tcPr>
          <w:p w14:paraId="61106EA2" w14:textId="77777777" w:rsidR="00DB6CA4" w:rsidRDefault="00000000">
            <w:pPr>
              <w:spacing w:line="288" w:lineRule="auto"/>
              <w:rPr>
                <w:rFonts w:hint="eastAsia"/>
              </w:rPr>
            </w:pPr>
            <w:r>
              <w:rPr>
                <w:sz w:val="20"/>
              </w:rPr>
              <w:t>u_w,h</w:t>
            </w:r>
          </w:p>
        </w:tc>
        <w:tc>
          <w:tcPr>
            <w:tcW w:w="2381" w:type="dxa"/>
            <w:vAlign w:val="center"/>
          </w:tcPr>
          <w:p w14:paraId="4E711484" w14:textId="77777777" w:rsidR="00DB6CA4" w:rsidRDefault="00000000">
            <w:pPr>
              <w:spacing w:line="288" w:lineRule="auto"/>
              <w:rPr>
                <w:rFonts w:hint="eastAsia"/>
                <w:lang w:eastAsia="zh-CN"/>
              </w:rPr>
            </w:pPr>
            <w:r>
              <w:rPr>
                <w:sz w:val="20"/>
                <w:lang w:eastAsia="zh-CN"/>
              </w:rPr>
              <w:t>第w周第h小时现货边际修正量</w:t>
            </w:r>
          </w:p>
        </w:tc>
        <w:tc>
          <w:tcPr>
            <w:tcW w:w="4649" w:type="dxa"/>
            <w:vAlign w:val="center"/>
          </w:tcPr>
          <w:p w14:paraId="632CF9B9" w14:textId="77777777" w:rsidR="00DB6CA4" w:rsidRDefault="00000000">
            <w:pPr>
              <w:spacing w:line="288" w:lineRule="auto"/>
              <w:rPr>
                <w:rFonts w:hint="eastAsia"/>
                <w:lang w:eastAsia="zh-CN"/>
              </w:rPr>
            </w:pPr>
            <w:r>
              <w:rPr>
                <w:sz w:val="20"/>
                <w:lang w:eastAsia="zh-CN"/>
              </w:rPr>
              <w:t>正值增加现货计划电量，负值减少现货计划电量</w:t>
            </w:r>
          </w:p>
        </w:tc>
      </w:tr>
      <w:tr w:rsidR="00DB6CA4" w14:paraId="1BE94B0E" w14:textId="77777777">
        <w:trPr>
          <w:jc w:val="center"/>
        </w:trPr>
        <w:tc>
          <w:tcPr>
            <w:tcW w:w="1134" w:type="dxa"/>
            <w:vAlign w:val="center"/>
          </w:tcPr>
          <w:p w14:paraId="585ADF2D" w14:textId="77777777" w:rsidR="00DB6CA4" w:rsidRDefault="00000000">
            <w:pPr>
              <w:spacing w:line="288" w:lineRule="auto"/>
              <w:rPr>
                <w:rFonts w:hint="eastAsia"/>
              </w:rPr>
            </w:pPr>
            <w:r>
              <w:rPr>
                <w:sz w:val="20"/>
              </w:rPr>
              <w:t>q_w,t^sch</w:t>
            </w:r>
          </w:p>
        </w:tc>
        <w:tc>
          <w:tcPr>
            <w:tcW w:w="2381" w:type="dxa"/>
            <w:vAlign w:val="center"/>
          </w:tcPr>
          <w:p w14:paraId="3130A681" w14:textId="77777777" w:rsidR="00DB6CA4" w:rsidRDefault="00000000">
            <w:pPr>
              <w:spacing w:line="288" w:lineRule="auto"/>
              <w:rPr>
                <w:rFonts w:hint="eastAsia"/>
                <w:lang w:eastAsia="zh-CN"/>
              </w:rPr>
            </w:pPr>
            <w:r>
              <w:rPr>
                <w:sz w:val="20"/>
                <w:lang w:eastAsia="zh-CN"/>
              </w:rPr>
              <w:t>第t个15分钟时段计划电量</w:t>
            </w:r>
          </w:p>
        </w:tc>
        <w:tc>
          <w:tcPr>
            <w:tcW w:w="4649" w:type="dxa"/>
            <w:vAlign w:val="center"/>
          </w:tcPr>
          <w:p w14:paraId="32705E95" w14:textId="77777777" w:rsidR="00DB6CA4" w:rsidRDefault="00000000">
            <w:pPr>
              <w:spacing w:line="288" w:lineRule="auto"/>
              <w:rPr>
                <w:rFonts w:hint="eastAsia"/>
                <w:lang w:eastAsia="zh-CN"/>
              </w:rPr>
            </w:pPr>
            <w:r>
              <w:rPr>
                <w:sz w:val="20"/>
                <w:lang w:eastAsia="zh-CN"/>
              </w:rPr>
              <w:t>中长期分解电量和现货净修正共同形成的结算计划</w:t>
            </w:r>
          </w:p>
        </w:tc>
      </w:tr>
      <w:tr w:rsidR="00DB6CA4" w14:paraId="70D68741" w14:textId="77777777">
        <w:trPr>
          <w:jc w:val="center"/>
        </w:trPr>
        <w:tc>
          <w:tcPr>
            <w:tcW w:w="1134" w:type="dxa"/>
            <w:vAlign w:val="center"/>
          </w:tcPr>
          <w:p w14:paraId="5FF11227" w14:textId="77777777" w:rsidR="00DB6CA4" w:rsidRDefault="00000000">
            <w:pPr>
              <w:spacing w:line="288" w:lineRule="auto"/>
              <w:rPr>
                <w:rFonts w:hint="eastAsia"/>
              </w:rPr>
            </w:pPr>
            <w:r>
              <w:rPr>
                <w:sz w:val="20"/>
              </w:rPr>
              <w:t>q_w,t^real</w:t>
            </w:r>
          </w:p>
        </w:tc>
        <w:tc>
          <w:tcPr>
            <w:tcW w:w="2381" w:type="dxa"/>
            <w:vAlign w:val="center"/>
          </w:tcPr>
          <w:p w14:paraId="3E52599B" w14:textId="77777777" w:rsidR="00DB6CA4" w:rsidRDefault="00000000">
            <w:pPr>
              <w:spacing w:line="288" w:lineRule="auto"/>
              <w:rPr>
                <w:rFonts w:hint="eastAsia"/>
                <w:lang w:eastAsia="zh-CN"/>
              </w:rPr>
            </w:pPr>
            <w:r>
              <w:rPr>
                <w:sz w:val="20"/>
                <w:lang w:eastAsia="zh-CN"/>
              </w:rPr>
              <w:t>第t个15分钟时段实际需求</w:t>
            </w:r>
          </w:p>
        </w:tc>
        <w:tc>
          <w:tcPr>
            <w:tcW w:w="4649" w:type="dxa"/>
            <w:vAlign w:val="center"/>
          </w:tcPr>
          <w:p w14:paraId="78445750" w14:textId="77777777" w:rsidR="00DB6CA4" w:rsidRDefault="00000000">
            <w:pPr>
              <w:spacing w:line="288" w:lineRule="auto"/>
              <w:rPr>
                <w:rFonts w:hint="eastAsia"/>
                <w:lang w:eastAsia="zh-CN"/>
              </w:rPr>
            </w:pPr>
            <w:r>
              <w:rPr>
                <w:sz w:val="20"/>
                <w:lang w:eastAsia="zh-CN"/>
              </w:rPr>
              <w:t>用于计算偏差电量和偏差成本</w:t>
            </w:r>
          </w:p>
        </w:tc>
      </w:tr>
      <w:tr w:rsidR="00DB6CA4" w14:paraId="2EF44B37" w14:textId="77777777">
        <w:trPr>
          <w:jc w:val="center"/>
        </w:trPr>
        <w:tc>
          <w:tcPr>
            <w:tcW w:w="1134" w:type="dxa"/>
            <w:vAlign w:val="center"/>
          </w:tcPr>
          <w:p w14:paraId="710FB7BB" w14:textId="77777777" w:rsidR="00DB6CA4" w:rsidRDefault="00000000">
            <w:pPr>
              <w:spacing w:line="288" w:lineRule="auto"/>
              <w:rPr>
                <w:rFonts w:hint="eastAsia"/>
              </w:rPr>
            </w:pPr>
            <w:r>
              <w:rPr>
                <w:sz w:val="20"/>
              </w:rPr>
              <w:t>C_w,t</w:t>
            </w:r>
          </w:p>
        </w:tc>
        <w:tc>
          <w:tcPr>
            <w:tcW w:w="2381" w:type="dxa"/>
            <w:vAlign w:val="center"/>
          </w:tcPr>
          <w:p w14:paraId="0308692A" w14:textId="77777777" w:rsidR="00DB6CA4" w:rsidRDefault="00000000">
            <w:pPr>
              <w:spacing w:line="288" w:lineRule="auto"/>
              <w:rPr>
                <w:rFonts w:hint="eastAsia"/>
                <w:lang w:eastAsia="zh-CN"/>
              </w:rPr>
            </w:pPr>
            <w:r>
              <w:rPr>
                <w:sz w:val="20"/>
                <w:lang w:eastAsia="zh-CN"/>
              </w:rPr>
              <w:t>第t个15分钟时段代理采购成本</w:t>
            </w:r>
          </w:p>
        </w:tc>
        <w:tc>
          <w:tcPr>
            <w:tcW w:w="4649" w:type="dxa"/>
            <w:vAlign w:val="center"/>
          </w:tcPr>
          <w:p w14:paraId="74B716D8" w14:textId="77777777" w:rsidR="00DB6CA4" w:rsidRDefault="00000000">
            <w:pPr>
              <w:spacing w:line="288" w:lineRule="auto"/>
              <w:rPr>
                <w:rFonts w:hint="eastAsia"/>
                <w:lang w:eastAsia="zh-CN"/>
              </w:rPr>
            </w:pPr>
            <w:r>
              <w:rPr>
                <w:sz w:val="20"/>
                <w:lang w:eastAsia="zh-CN"/>
              </w:rPr>
              <w:t>用于累计成本、利润和CVaR风险评价</w:t>
            </w:r>
          </w:p>
        </w:tc>
      </w:tr>
    </w:tbl>
    <w:p w14:paraId="6CF6595D" w14:textId="77777777" w:rsidR="00DB6CA4" w:rsidRDefault="00DB6CA4">
      <w:pPr>
        <w:rPr>
          <w:rFonts w:hint="eastAsia"/>
          <w:lang w:eastAsia="zh-CN"/>
        </w:rPr>
      </w:pPr>
    </w:p>
    <w:p w14:paraId="41CF4390" w14:textId="12B5338C" w:rsidR="00DB6CA4" w:rsidRDefault="00000000" w:rsidP="00D95A2B">
      <w:pPr>
        <w:spacing w:before="160" w:after="80"/>
        <w:ind w:firstLineChars="200" w:firstLine="522"/>
        <w:rPr>
          <w:rFonts w:hint="eastAsia"/>
        </w:rPr>
      </w:pPr>
      <w:r>
        <w:rPr>
          <w:rFonts w:ascii="黑体" w:eastAsia="黑体" w:hAnsi="黑体"/>
          <w:b/>
          <w:sz w:val="26"/>
        </w:rPr>
        <w:t xml:space="preserve"> 周度中长期持仓决策</w:t>
      </w:r>
    </w:p>
    <w:p w14:paraId="475FD20A" w14:textId="77777777" w:rsidR="00DB6CA4" w:rsidRDefault="00000000">
      <w:pPr>
        <w:spacing w:after="60" w:line="324" w:lineRule="auto"/>
        <w:rPr>
          <w:rFonts w:hint="eastAsia"/>
        </w:rPr>
      </w:pPr>
      <w:r>
        <w:rPr>
          <w:rFonts w:ascii="黑体" w:eastAsia="黑体" w:hAnsi="黑体"/>
          <w:b/>
        </w:rPr>
        <w:t>公式（1）：周度原始调整量</w:t>
      </w:r>
      <w:r>
        <w:rPr>
          <w:rFonts w:ascii="Times New Roman" w:eastAsia="Times New Roman" w:hAnsi="Times New Roman"/>
        </w:rPr>
        <w:t xml:space="preserve">  a_w^raw = eta_a * tanh(X_w theta_x + S_w theta_s)</w:t>
      </w:r>
    </w:p>
    <w:p w14:paraId="4209A499" w14:textId="77777777" w:rsidR="00DB6CA4" w:rsidRDefault="00000000">
      <w:pPr>
        <w:spacing w:after="60" w:line="348" w:lineRule="auto"/>
        <w:ind w:firstLine="420"/>
        <w:rPr>
          <w:rFonts w:hint="eastAsia"/>
          <w:lang w:eastAsia="zh-CN"/>
        </w:rPr>
      </w:pPr>
      <w:r>
        <w:t>其中，a_w^raw是模型先生成的中长期持仓调整量，还没有经过制度和风险边界修正；eta_a控制调整幅度，避免模型一次性给出过大的持仓变化；X_w theta_x表示市场信息对持仓的影响，S_w theta_s表示制度状态对持仓的影响；tanh函数把输出压到有限范围内，防止极端特征导致动作失控。</w:t>
      </w:r>
      <w:r>
        <w:rPr>
          <w:lang w:eastAsia="zh-CN"/>
        </w:rPr>
        <w:t>论文中可解释为：售电公司并不是机械固定合约比例，而是根据上一阶段价格、负荷偏差、波动和政策状态给出一个“建议调整量”。</w:t>
      </w:r>
    </w:p>
    <w:p w14:paraId="06FC48B1" w14:textId="77777777" w:rsidR="00DB6CA4" w:rsidRDefault="00000000">
      <w:pPr>
        <w:spacing w:after="60" w:line="324" w:lineRule="auto"/>
        <w:rPr>
          <w:rFonts w:hint="eastAsia"/>
        </w:rPr>
      </w:pPr>
      <w:r>
        <w:rPr>
          <w:rFonts w:ascii="黑体" w:eastAsia="黑体" w:hAnsi="黑体"/>
          <w:b/>
        </w:rPr>
        <w:t>公式（2）：政策可行域投影</w:t>
      </w:r>
      <w:r>
        <w:rPr>
          <w:rFonts w:ascii="Times New Roman" w:eastAsia="Times New Roman" w:hAnsi="Times New Roman"/>
        </w:rPr>
        <w:t xml:space="preserve">  a_w = Proj_week(a_w^raw, F_w)</w:t>
      </w:r>
    </w:p>
    <w:p w14:paraId="177D703E" w14:textId="77777777" w:rsidR="00DB6CA4" w:rsidRDefault="00000000">
      <w:pPr>
        <w:spacing w:after="60" w:line="348" w:lineRule="auto"/>
        <w:ind w:firstLine="420"/>
        <w:rPr>
          <w:rFonts w:hint="eastAsia"/>
          <w:lang w:eastAsia="zh-CN"/>
        </w:rPr>
      </w:pPr>
      <w:r>
        <w:rPr>
          <w:lang w:eastAsia="zh-CN"/>
        </w:rPr>
        <w:t>F_w表示第w周由政策规则、非负持仓、周度变动限制和风险预算共同构成的可行域。投影函数Proj_week的作用不是简单美化结果，而是把模型原始动作修正为制度上可执行、业务上可解释的动作。如果a_w^raw超出边界，投影缺口会被记录下来，用于后续解释模型原始意图与现实约束之间的差距。</w:t>
      </w:r>
    </w:p>
    <w:p w14:paraId="4247A801" w14:textId="77777777" w:rsidR="00DB6CA4" w:rsidRDefault="00000000">
      <w:pPr>
        <w:spacing w:after="60" w:line="324" w:lineRule="auto"/>
        <w:rPr>
          <w:rFonts w:hint="eastAsia"/>
          <w:lang w:eastAsia="zh-CN"/>
        </w:rPr>
      </w:pPr>
      <w:r>
        <w:rPr>
          <w:rFonts w:ascii="黑体" w:eastAsia="黑体" w:hAnsi="黑体"/>
          <w:b/>
          <w:lang w:eastAsia="zh-CN"/>
        </w:rPr>
        <w:t>公式（3）：周度中长期合约持仓</w:t>
      </w:r>
      <w:r>
        <w:rPr>
          <w:rFonts w:ascii="Times New Roman" w:eastAsia="Times New Roman" w:hAnsi="Times New Roman"/>
          <w:lang w:eastAsia="zh-CN"/>
        </w:rPr>
        <w:t xml:space="preserve">  Q_w^LT = rho_0 * D_w + a_w</w:t>
      </w:r>
    </w:p>
    <w:p w14:paraId="52051204" w14:textId="77777777" w:rsidR="00DB6CA4" w:rsidRDefault="00000000">
      <w:pPr>
        <w:spacing w:after="60" w:line="348" w:lineRule="auto"/>
        <w:ind w:firstLine="420"/>
        <w:rPr>
          <w:rFonts w:hint="eastAsia"/>
          <w:lang w:eastAsia="zh-CN"/>
        </w:rPr>
      </w:pPr>
      <w:r>
        <w:rPr>
          <w:lang w:eastAsia="zh-CN"/>
        </w:rPr>
        <w:lastRenderedPageBreak/>
        <w:t>rho_0 * D_w是基础底仓，代表在没有主动调整时售电公司需要保留的中长期合约覆盖量；a_w是经过投影后的残差调整量。这个公式体现了本文的核心口径：主策略不是从零开始任意决定合约量，而是在强基准底仓基础上做有限、可解释的主动偏移。正式写作时应强调Q_w^LT是结算与风险管理头寸，不是物理调度计划。</w:t>
      </w:r>
    </w:p>
    <w:p w14:paraId="2791139F" w14:textId="4C872CB8" w:rsidR="00DB6CA4" w:rsidRDefault="00000000" w:rsidP="00D95A2B">
      <w:pPr>
        <w:spacing w:before="160" w:after="80"/>
        <w:ind w:firstLineChars="200" w:firstLine="522"/>
        <w:rPr>
          <w:rFonts w:hint="eastAsia"/>
          <w:lang w:eastAsia="zh-CN"/>
        </w:rPr>
      </w:pPr>
      <w:r>
        <w:rPr>
          <w:rFonts w:ascii="黑体" w:eastAsia="黑体" w:hAnsi="黑体"/>
          <w:b/>
          <w:sz w:val="26"/>
          <w:lang w:eastAsia="zh-CN"/>
        </w:rPr>
        <w:t xml:space="preserve"> 风险敞口带宽与24小时合约曲线</w:t>
      </w:r>
    </w:p>
    <w:p w14:paraId="03AA9162" w14:textId="77777777" w:rsidR="00DB6CA4" w:rsidRDefault="00000000">
      <w:pPr>
        <w:spacing w:after="60" w:line="324" w:lineRule="auto"/>
        <w:rPr>
          <w:rFonts w:hint="eastAsia"/>
          <w:lang w:eastAsia="zh-CN"/>
        </w:rPr>
      </w:pPr>
      <w:r>
        <w:rPr>
          <w:rFonts w:ascii="黑体" w:eastAsia="黑体" w:hAnsi="黑体"/>
          <w:b/>
          <w:lang w:eastAsia="zh-CN"/>
        </w:rPr>
        <w:t>公式（4）：现货风险敞口带宽</w:t>
      </w:r>
      <w:r>
        <w:rPr>
          <w:rFonts w:ascii="Times New Roman" w:eastAsia="Times New Roman" w:hAnsi="Times New Roman"/>
          <w:lang w:eastAsia="zh-CN"/>
        </w:rPr>
        <w:t xml:space="preserve">  B_w = Proj_band(B_w^raw, F_w)</w:t>
      </w:r>
    </w:p>
    <w:p w14:paraId="41980F2E" w14:textId="77777777" w:rsidR="00DB6CA4" w:rsidRDefault="00000000">
      <w:pPr>
        <w:spacing w:after="60" w:line="348" w:lineRule="auto"/>
        <w:ind w:firstLine="420"/>
        <w:rPr>
          <w:rFonts w:hint="eastAsia"/>
          <w:lang w:eastAsia="zh-CN"/>
        </w:rPr>
      </w:pPr>
      <w:r>
        <w:rPr>
          <w:lang w:eastAsia="zh-CN"/>
        </w:rPr>
        <w:t>B_w决定该周现货边际修正最多能活动到什么程度。它不是直接收益，也不是规则强度，而是“风险预算”：带宽越大，下层小时级修正空间越大，策略可能更灵活，但交易摩擦和偏差风险也可能上升；带宽越小，策略更稳健，但难以及时响应短期价差和负荷偏差。投影函数保证带宽不突破制度边界和业务约束。</w:t>
      </w:r>
    </w:p>
    <w:p w14:paraId="018B227E" w14:textId="77777777" w:rsidR="00DB6CA4" w:rsidRDefault="00000000">
      <w:pPr>
        <w:spacing w:after="60" w:line="324" w:lineRule="auto"/>
        <w:rPr>
          <w:rFonts w:hint="eastAsia"/>
        </w:rPr>
      </w:pPr>
      <w:r>
        <w:rPr>
          <w:rFonts w:ascii="黑体" w:eastAsia="黑体" w:hAnsi="黑体"/>
          <w:b/>
        </w:rPr>
        <w:t>公式（5）：24小时合约曲线权重</w:t>
      </w:r>
      <w:r>
        <w:rPr>
          <w:rFonts w:ascii="Times New Roman" w:eastAsia="Times New Roman" w:hAnsi="Times New Roman"/>
        </w:rPr>
        <w:t xml:space="preserve">  pi_w,h = softmax(z_w Phi_h),  sum_h pi_w,h = 1</w:t>
      </w:r>
    </w:p>
    <w:p w14:paraId="51B6F9E3" w14:textId="77777777" w:rsidR="00DB6CA4" w:rsidRDefault="00000000">
      <w:pPr>
        <w:spacing w:after="60" w:line="348" w:lineRule="auto"/>
        <w:ind w:firstLine="420"/>
        <w:rPr>
          <w:rFonts w:hint="eastAsia"/>
          <w:lang w:eastAsia="zh-CN"/>
        </w:rPr>
      </w:pPr>
      <w:r>
        <w:t>z_w是合约曲线隐变量，Phi_h是24小时基函数。</w:t>
      </w:r>
      <w:r>
        <w:rPr>
          <w:lang w:eastAsia="zh-CN"/>
        </w:rPr>
        <w:t>softmax保证每个小时的权重为非负，且24小时权重之和为1。这个设计用于把周度中长期头寸分摊到日内结构中，避免把一周合约电量平均摊开后忽略峰谷、工作时段和价格结构差异。</w:t>
      </w:r>
    </w:p>
    <w:p w14:paraId="739D698E" w14:textId="77777777" w:rsidR="00DB6CA4" w:rsidRDefault="00000000">
      <w:pPr>
        <w:spacing w:after="60" w:line="324" w:lineRule="auto"/>
        <w:rPr>
          <w:rFonts w:hint="eastAsia"/>
          <w:lang w:eastAsia="zh-CN"/>
        </w:rPr>
      </w:pPr>
      <w:r>
        <w:rPr>
          <w:rFonts w:ascii="黑体" w:eastAsia="黑体" w:hAnsi="黑体"/>
          <w:b/>
          <w:lang w:eastAsia="zh-CN"/>
        </w:rPr>
        <w:t>公式（6）：小时中长期分解电量</w:t>
      </w:r>
      <w:r>
        <w:rPr>
          <w:rFonts w:ascii="Times New Roman" w:eastAsia="Times New Roman" w:hAnsi="Times New Roman"/>
          <w:lang w:eastAsia="zh-CN"/>
        </w:rPr>
        <w:t xml:space="preserve">  q_w,h^LT = Q_w^LT * pi_w,h</w:t>
      </w:r>
    </w:p>
    <w:p w14:paraId="78E76E0F" w14:textId="77777777" w:rsidR="00DB6CA4" w:rsidRDefault="00000000">
      <w:pPr>
        <w:spacing w:after="60" w:line="348" w:lineRule="auto"/>
        <w:ind w:firstLine="420"/>
        <w:rPr>
          <w:rFonts w:hint="eastAsia"/>
          <w:lang w:eastAsia="zh-CN"/>
        </w:rPr>
      </w:pPr>
      <w:r>
        <w:rPr>
          <w:lang w:eastAsia="zh-CN"/>
        </w:rPr>
        <w:t>该公式把周度中长期持仓Q_w^LT分解为小时级合约曲线q_w,h^LT。它连接上层周度决策和下层小时修正：下层并不是重新决定全部购电量，而是在已有合约曲线基础上处理边际偏差。论文中可把它写为“周度底仓向日内结算结构的分解”。</w:t>
      </w:r>
    </w:p>
    <w:p w14:paraId="617630DB" w14:textId="78CB64C9" w:rsidR="00DB6CA4" w:rsidRDefault="00000000" w:rsidP="00D95A2B">
      <w:pPr>
        <w:spacing w:before="160" w:after="80"/>
        <w:ind w:firstLineChars="200" w:firstLine="522"/>
        <w:rPr>
          <w:rFonts w:hint="eastAsia"/>
        </w:rPr>
      </w:pPr>
      <w:r>
        <w:rPr>
          <w:rFonts w:ascii="黑体" w:eastAsia="黑体" w:hAnsi="黑体"/>
          <w:b/>
          <w:sz w:val="26"/>
        </w:rPr>
        <w:t xml:space="preserve"> 小时级现货边际修正</w:t>
      </w:r>
    </w:p>
    <w:p w14:paraId="0E3D21B2" w14:textId="77777777" w:rsidR="00DB6CA4" w:rsidRDefault="00000000">
      <w:pPr>
        <w:spacing w:after="60" w:line="324" w:lineRule="auto"/>
        <w:rPr>
          <w:rFonts w:hint="eastAsia"/>
        </w:rPr>
      </w:pPr>
      <w:r>
        <w:rPr>
          <w:rFonts w:ascii="黑体" w:eastAsia="黑体" w:hAnsi="黑体"/>
          <w:b/>
        </w:rPr>
        <w:t>公式（7）：小时级修正信号</w:t>
      </w:r>
      <w:r>
        <w:rPr>
          <w:rFonts w:ascii="Times New Roman" w:eastAsia="Times New Roman" w:hAnsi="Times New Roman"/>
        </w:rPr>
        <w:t xml:space="preserve">  s_w,h = beta_spread * spread_w,h + beta_load * dev_w,h + beta_ren * ren_w,h + beta_policy * policy_w,h</w:t>
      </w:r>
    </w:p>
    <w:p w14:paraId="5A425EDD" w14:textId="77777777" w:rsidR="00DB6CA4" w:rsidRDefault="00000000">
      <w:pPr>
        <w:spacing w:after="60" w:line="348" w:lineRule="auto"/>
        <w:ind w:firstLine="420"/>
        <w:rPr>
          <w:rFonts w:hint="eastAsia"/>
          <w:lang w:eastAsia="zh-CN"/>
        </w:rPr>
      </w:pPr>
      <w:r>
        <w:rPr>
          <w:lang w:eastAsia="zh-CN"/>
        </w:rPr>
        <w:t>s_w,h是第h小时是否需要进行现货边际修正的综合信号。spread_w,h代表日前/日内价差或现货相对合约价差；dev_w,h代表负荷预测偏差；ren_w,h代表新能源扰动；policy_w,h代表制度收缩或辅助服务耦合状态。四类系数由下层HPSO搜索得到，含义是模型学习各类风险信号对现货修正方向和强度的影响。</w:t>
      </w:r>
    </w:p>
    <w:p w14:paraId="3F3E1CC7" w14:textId="77777777" w:rsidR="00DB6CA4" w:rsidRDefault="00000000">
      <w:pPr>
        <w:spacing w:after="60" w:line="324" w:lineRule="auto"/>
        <w:rPr>
          <w:rFonts w:hint="eastAsia"/>
        </w:rPr>
      </w:pPr>
      <w:r>
        <w:rPr>
          <w:rFonts w:ascii="黑体" w:eastAsia="黑体" w:hAnsi="黑体"/>
          <w:b/>
        </w:rPr>
        <w:t>公式（8）：原始现货修正量</w:t>
      </w:r>
      <w:r>
        <w:rPr>
          <w:rFonts w:ascii="Times New Roman" w:eastAsia="Times New Roman" w:hAnsi="Times New Roman"/>
        </w:rPr>
        <w:t xml:space="preserve">  u_w,h^raw = gate_w,h * tanh(s_w,h) * limit_w,h</w:t>
      </w:r>
    </w:p>
    <w:p w14:paraId="4CE2C5A0" w14:textId="77777777" w:rsidR="00DB6CA4" w:rsidRDefault="00000000">
      <w:pPr>
        <w:spacing w:after="60" w:line="348" w:lineRule="auto"/>
        <w:ind w:firstLine="420"/>
        <w:rPr>
          <w:rFonts w:hint="eastAsia"/>
          <w:lang w:eastAsia="zh-CN"/>
        </w:rPr>
      </w:pPr>
      <w:r>
        <w:t>gate_w,h是交易门控，当价差信号不能覆盖交易摩擦和不确定性时可以抑制交易；tanh(s_w,h)给出带方向的修正比例，正负号分别表示增加或减少现货计划电量；limit_w,h</w:t>
      </w:r>
      <w:r>
        <w:lastRenderedPageBreak/>
        <w:t>由周度带宽B_w和小时级边界共同决定。</w:t>
      </w:r>
      <w:r>
        <w:rPr>
          <w:lang w:eastAsia="zh-CN"/>
        </w:rPr>
        <w:t>这个公式说明现货修正不是越频繁越好，而是在信号足够强时才进入边际调整。</w:t>
      </w:r>
    </w:p>
    <w:p w14:paraId="32C461F8" w14:textId="77777777" w:rsidR="00DB6CA4" w:rsidRDefault="00000000">
      <w:pPr>
        <w:spacing w:after="60" w:line="324" w:lineRule="auto"/>
        <w:rPr>
          <w:rFonts w:hint="eastAsia"/>
        </w:rPr>
      </w:pPr>
      <w:r>
        <w:rPr>
          <w:rFonts w:ascii="黑体" w:eastAsia="黑体" w:hAnsi="黑体"/>
          <w:b/>
        </w:rPr>
        <w:t>公式（9）：小时级投影后修正量</w:t>
      </w:r>
      <w:r>
        <w:rPr>
          <w:rFonts w:ascii="Times New Roman" w:eastAsia="Times New Roman" w:hAnsi="Times New Roman"/>
        </w:rPr>
        <w:t xml:space="preserve">  u_w,h = Proj_hour(u_w,h^raw, B_w, gamma_w,h, ramp_h)</w:t>
      </w:r>
    </w:p>
    <w:p w14:paraId="32EF2E94" w14:textId="77777777" w:rsidR="00DB6CA4" w:rsidRDefault="00000000">
      <w:pPr>
        <w:spacing w:after="60" w:line="348" w:lineRule="auto"/>
        <w:ind w:firstLine="420"/>
        <w:rPr>
          <w:rFonts w:hint="eastAsia"/>
          <w:lang w:eastAsia="zh-CN"/>
        </w:rPr>
      </w:pPr>
      <w:r>
        <w:rPr>
          <w:lang w:eastAsia="zh-CN"/>
        </w:rPr>
        <w:t>Proj_hour把原始修正量压回小时级可行域。B_w约束整周修正总预算，gamma_w,h约束单小时修正份额，ramp_h约束相邻小时变化幅度。这样处理后，u_w,h既保留模型对价差和负荷偏差的响应，又不会出现不符合制度边界或业务连续性的跳变。</w:t>
      </w:r>
    </w:p>
    <w:p w14:paraId="1CDAA22F" w14:textId="2DE659F9" w:rsidR="00DB6CA4" w:rsidRDefault="00000000" w:rsidP="00D95A2B">
      <w:pPr>
        <w:spacing w:before="160" w:after="80"/>
        <w:ind w:firstLineChars="200" w:firstLine="522"/>
        <w:rPr>
          <w:rFonts w:hint="eastAsia"/>
          <w:lang w:eastAsia="zh-CN"/>
        </w:rPr>
      </w:pPr>
      <w:r>
        <w:rPr>
          <w:rFonts w:ascii="黑体" w:eastAsia="黑体" w:hAnsi="黑体"/>
          <w:b/>
          <w:sz w:val="26"/>
          <w:lang w:eastAsia="zh-CN"/>
        </w:rPr>
        <w:t xml:space="preserve"> 15分钟代理结算与采购成本</w:t>
      </w:r>
    </w:p>
    <w:p w14:paraId="0A8CA451" w14:textId="77777777" w:rsidR="00DB6CA4" w:rsidRDefault="00000000">
      <w:pPr>
        <w:spacing w:after="60" w:line="324" w:lineRule="auto"/>
        <w:rPr>
          <w:rFonts w:hint="eastAsia"/>
          <w:lang w:eastAsia="zh-CN"/>
        </w:rPr>
      </w:pPr>
      <w:r>
        <w:rPr>
          <w:rFonts w:ascii="黑体" w:eastAsia="黑体" w:hAnsi="黑体"/>
          <w:b/>
          <w:lang w:eastAsia="zh-CN"/>
        </w:rPr>
        <w:t>公式（10）：15分钟计划电量</w:t>
      </w:r>
      <w:r>
        <w:rPr>
          <w:rFonts w:ascii="Times New Roman" w:eastAsia="Times New Roman" w:hAnsi="Times New Roman"/>
          <w:lang w:eastAsia="zh-CN"/>
        </w:rPr>
        <w:t xml:space="preserve">  q_w,t^sch = max(q_w,t^LT + u_w,t, 0)</w:t>
      </w:r>
    </w:p>
    <w:p w14:paraId="50887697" w14:textId="77777777" w:rsidR="00DB6CA4" w:rsidRDefault="00000000">
      <w:pPr>
        <w:spacing w:after="60" w:line="348" w:lineRule="auto"/>
        <w:ind w:firstLine="420"/>
        <w:rPr>
          <w:rFonts w:hint="eastAsia"/>
          <w:lang w:eastAsia="zh-CN"/>
        </w:rPr>
      </w:pPr>
      <w:r>
        <w:rPr>
          <w:lang w:eastAsia="zh-CN"/>
        </w:rPr>
        <w:t>q_w,t^LT由小时合约曲线映射到15分钟时段，u_w,t由小时级现货修正量映射到对应15分钟时段。max函数体现非负计划电量约束：售电公司不能在采购侧形成负的实际计划电量。这里的u_w,t保留方向，正值表示增加现货侧计划，负值表示减少现货侧计划。</w:t>
      </w:r>
    </w:p>
    <w:p w14:paraId="1E3A5D6B" w14:textId="77777777" w:rsidR="00DB6CA4" w:rsidRDefault="00000000">
      <w:pPr>
        <w:spacing w:after="60" w:line="324" w:lineRule="auto"/>
        <w:rPr>
          <w:rFonts w:hint="eastAsia"/>
        </w:rPr>
      </w:pPr>
      <w:r>
        <w:rPr>
          <w:rFonts w:ascii="黑体" w:eastAsia="黑体" w:hAnsi="黑体"/>
          <w:b/>
        </w:rPr>
        <w:t>公式（11）：代理采购成本</w:t>
      </w:r>
      <w:r>
        <w:rPr>
          <w:rFonts w:ascii="Times New Roman" w:eastAsia="Times New Roman" w:hAnsi="Times New Roman"/>
        </w:rPr>
        <w:t xml:space="preserve">  C_w,t = q_w,t^sch * p_t^mix + |q_w,t^real - q_w,t^sch| * p_t^ID * mu</w:t>
      </w:r>
    </w:p>
    <w:p w14:paraId="401E8E30" w14:textId="77777777" w:rsidR="00DB6CA4" w:rsidRDefault="00000000">
      <w:pPr>
        <w:spacing w:after="60" w:line="348" w:lineRule="auto"/>
        <w:ind w:firstLine="420"/>
        <w:rPr>
          <w:rFonts w:hint="eastAsia"/>
          <w:lang w:eastAsia="zh-CN"/>
        </w:rPr>
      </w:pPr>
      <w:r>
        <w:rPr>
          <w:lang w:eastAsia="zh-CN"/>
        </w:rPr>
        <w:t>p_t^mix是中长期/日前代理价格的混合口径，p_t^ID是日内或实时代理价格，mu是偏差惩罚倍率。第一项表示计划电量的基础采购成本，第二项表示实际需求和计划电量不一致时产生的偏差成本。绝对值用于计算偏差规模，说明无论预测偏高还是偏低，都会带来结算偏差和风险暴露。</w:t>
      </w:r>
    </w:p>
    <w:p w14:paraId="6F41A9BE" w14:textId="77777777" w:rsidR="00DB6CA4" w:rsidRDefault="00000000">
      <w:pPr>
        <w:spacing w:after="60" w:line="324" w:lineRule="auto"/>
        <w:rPr>
          <w:rFonts w:hint="eastAsia"/>
        </w:rPr>
      </w:pPr>
      <w:r>
        <w:rPr>
          <w:rFonts w:ascii="黑体" w:eastAsia="黑体" w:hAnsi="黑体"/>
          <w:b/>
        </w:rPr>
        <w:t>公式（12）：周度利润</w:t>
      </w:r>
      <w:r>
        <w:rPr>
          <w:rFonts w:ascii="Times New Roman" w:eastAsia="Times New Roman" w:hAnsi="Times New Roman"/>
        </w:rPr>
        <w:t xml:space="preserve">  Pi_w = R_w^retail - sum_t C_w,t - TC_w</w:t>
      </w:r>
    </w:p>
    <w:p w14:paraId="4519C3DA" w14:textId="77777777" w:rsidR="00DB6CA4" w:rsidRDefault="00000000">
      <w:pPr>
        <w:spacing w:after="60" w:line="348" w:lineRule="auto"/>
        <w:ind w:firstLine="420"/>
        <w:rPr>
          <w:rFonts w:hint="eastAsia"/>
          <w:lang w:eastAsia="zh-CN"/>
        </w:rPr>
      </w:pPr>
      <w:r>
        <w:t>R_w^retail表示零售侧收入边界，sum_t C_w,t表示一周内所有15分钟时段代理采购成本，TC_w表示现货修正相关交易摩擦。</w:t>
      </w:r>
      <w:r>
        <w:rPr>
          <w:lang w:eastAsia="zh-CN"/>
        </w:rPr>
        <w:t>本文研究重点是采购策略和风险控制，因此零售侧收入不作为自由动作，而作为收入端边界或外生参数处理。</w:t>
      </w:r>
    </w:p>
    <w:p w14:paraId="087B5658" w14:textId="79166F1C" w:rsidR="00DB6CA4" w:rsidRDefault="00000000" w:rsidP="00D95A2B">
      <w:pPr>
        <w:spacing w:before="160" w:after="80"/>
        <w:ind w:firstLineChars="200" w:firstLine="522"/>
        <w:rPr>
          <w:rFonts w:hint="eastAsia"/>
          <w:lang w:eastAsia="zh-CN"/>
        </w:rPr>
      </w:pPr>
      <w:r>
        <w:rPr>
          <w:rFonts w:ascii="黑体" w:eastAsia="黑体" w:hAnsi="黑体"/>
          <w:b/>
          <w:sz w:val="26"/>
          <w:lang w:eastAsia="zh-CN"/>
        </w:rPr>
        <w:t xml:space="preserve"> 尾部风险、套保误差与训练奖励</w:t>
      </w:r>
    </w:p>
    <w:p w14:paraId="7EAC20C4" w14:textId="77777777" w:rsidR="00DB6CA4" w:rsidRDefault="00000000">
      <w:pPr>
        <w:spacing w:after="60" w:line="324" w:lineRule="auto"/>
        <w:rPr>
          <w:rFonts w:hint="eastAsia"/>
        </w:rPr>
      </w:pPr>
      <w:r>
        <w:rPr>
          <w:rFonts w:ascii="黑体" w:eastAsia="黑体" w:hAnsi="黑体"/>
          <w:b/>
        </w:rPr>
        <w:t>公式（13）：CVaR尾部风险</w:t>
      </w:r>
      <w:r>
        <w:rPr>
          <w:rFonts w:ascii="Times New Roman" w:eastAsia="Times New Roman" w:hAnsi="Times New Roman"/>
        </w:rPr>
        <w:t xml:space="preserve">  CVaR_alpha,w = E[C_w,t | C_w,t &gt;= VaR_alpha,w]</w:t>
      </w:r>
    </w:p>
    <w:p w14:paraId="2C720540" w14:textId="77777777" w:rsidR="00DB6CA4" w:rsidRDefault="00000000">
      <w:pPr>
        <w:spacing w:after="60" w:line="348" w:lineRule="auto"/>
        <w:ind w:firstLine="420"/>
        <w:rPr>
          <w:rFonts w:hint="eastAsia"/>
          <w:lang w:eastAsia="zh-CN"/>
        </w:rPr>
      </w:pPr>
      <w:r>
        <w:t>VaR_alpha,w表示第alpha分位的高成本阈值，CVaR_alpha,w表示超过该阈值后的平均成本水平。</w:t>
      </w:r>
      <w:r>
        <w:rPr>
          <w:lang w:eastAsia="zh-CN"/>
        </w:rPr>
        <w:t>本文采用CVaR99，关注最不利1%成本时段的平均风险。它比单纯平均成本更适合电力现货场景，因为现货价格尖峰和负荷偏差往往集中发生在少数时段。</w:t>
      </w:r>
    </w:p>
    <w:p w14:paraId="2D404071" w14:textId="77777777" w:rsidR="00DB6CA4" w:rsidRDefault="00000000">
      <w:pPr>
        <w:spacing w:after="60" w:line="324" w:lineRule="auto"/>
        <w:rPr>
          <w:rFonts w:hint="eastAsia"/>
        </w:rPr>
      </w:pPr>
      <w:r>
        <w:rPr>
          <w:rFonts w:ascii="黑体" w:eastAsia="黑体" w:hAnsi="黑体"/>
          <w:b/>
        </w:rPr>
        <w:t>公式（14）：套保误差</w:t>
      </w:r>
      <w:r>
        <w:rPr>
          <w:rFonts w:ascii="Times New Roman" w:eastAsia="Times New Roman" w:hAnsi="Times New Roman"/>
        </w:rPr>
        <w:t xml:space="preserve">  HE_w = mean_t |q_w,t^real - q_w,t^sch| / mean_t q_w,t^real</w:t>
      </w:r>
    </w:p>
    <w:p w14:paraId="14F500E0" w14:textId="77777777" w:rsidR="00DB6CA4" w:rsidRDefault="00000000">
      <w:pPr>
        <w:spacing w:after="60" w:line="348" w:lineRule="auto"/>
        <w:ind w:firstLine="420"/>
        <w:rPr>
          <w:rFonts w:hint="eastAsia"/>
          <w:lang w:eastAsia="zh-CN"/>
        </w:rPr>
      </w:pPr>
      <w:r>
        <w:rPr>
          <w:lang w:eastAsia="zh-CN"/>
        </w:rPr>
        <w:lastRenderedPageBreak/>
        <w:t>HE_w衡量计划电量与实际需求之间的偏离程度。若套保误差过大，即使利润在某一阶段较高，也说明策略对实际负荷的覆盖并不稳定。该指标用于防止模型只追求价格机会而忽视售电公司的履约和风险管理需求。</w:t>
      </w:r>
    </w:p>
    <w:p w14:paraId="162F5257" w14:textId="77777777" w:rsidR="00DB6CA4" w:rsidRDefault="00000000">
      <w:pPr>
        <w:spacing w:after="60" w:line="324" w:lineRule="auto"/>
        <w:rPr>
          <w:rFonts w:hint="eastAsia"/>
        </w:rPr>
      </w:pPr>
      <w:r>
        <w:rPr>
          <w:rFonts w:ascii="黑体" w:eastAsia="黑体" w:hAnsi="黑体"/>
          <w:b/>
        </w:rPr>
        <w:t>公式（15）：相对强基准的超额收益</w:t>
      </w:r>
      <w:r>
        <w:rPr>
          <w:rFonts w:ascii="Times New Roman" w:eastAsia="Times New Roman" w:hAnsi="Times New Roman"/>
        </w:rPr>
        <w:t xml:space="preserve">  DeltaPi_w = Pi_w - Pi_w^base</w:t>
      </w:r>
    </w:p>
    <w:p w14:paraId="30769997" w14:textId="77777777" w:rsidR="00DB6CA4" w:rsidRDefault="00000000">
      <w:pPr>
        <w:spacing w:after="60" w:line="348" w:lineRule="auto"/>
        <w:ind w:firstLine="420"/>
        <w:rPr>
          <w:rFonts w:hint="eastAsia"/>
          <w:lang w:eastAsia="zh-CN"/>
        </w:rPr>
      </w:pPr>
      <w:r>
        <w:t>Pi_w^base是强基准策略利润，当前主要对照dynamic_lock_only及固定持仓基准族。</w:t>
      </w:r>
      <w:r>
        <w:rPr>
          <w:lang w:eastAsia="zh-CN"/>
        </w:rPr>
        <w:t>使用DeltaPi_w而不是直接使用Pi_w，是为了让模型回答“是否比强基准更有改进”这个问题，而不是只在绝对利润上受市场整体景气程度影响。</w:t>
      </w:r>
    </w:p>
    <w:p w14:paraId="50EF025B" w14:textId="77777777" w:rsidR="00DB6CA4" w:rsidRDefault="00000000">
      <w:pPr>
        <w:spacing w:after="60" w:line="324" w:lineRule="auto"/>
        <w:rPr>
          <w:rFonts w:hint="eastAsia"/>
        </w:rPr>
      </w:pPr>
      <w:r>
        <w:rPr>
          <w:rFonts w:ascii="黑体" w:eastAsia="黑体" w:hAnsi="黑体"/>
          <w:b/>
        </w:rPr>
        <w:t>公式（16）：训练奖励函数</w:t>
      </w:r>
      <w:r>
        <w:rPr>
          <w:rFonts w:ascii="Times New Roman" w:eastAsia="Times New Roman" w:hAnsi="Times New Roman"/>
        </w:rPr>
        <w:t xml:space="preserve">  r_w = DeltaPi_w - lambda_tail*CVaR_0.99,w - lambda_hedge*HE_w - lambda_trade*TC_w - lambda_violate*V_w</w:t>
      </w:r>
    </w:p>
    <w:p w14:paraId="7C3A485A" w14:textId="77777777" w:rsidR="00DB6CA4" w:rsidRDefault="00000000">
      <w:pPr>
        <w:spacing w:after="60" w:line="348" w:lineRule="auto"/>
        <w:ind w:firstLine="420"/>
        <w:rPr>
          <w:rFonts w:hint="eastAsia"/>
          <w:lang w:eastAsia="zh-CN"/>
        </w:rPr>
      </w:pPr>
      <w:r>
        <w:rPr>
          <w:lang w:eastAsia="zh-CN"/>
        </w:rPr>
        <w:t>r_w是HPSO评分核最终优化的周度目标。第一项奖励相对强基准的超额利润；第二项惩罚尾部高成本；第三项惩罚套保误差；第四项惩罚频繁交易或交易摩擦；第五项惩罚违反政策可行域或投影缺口。这个奖励函数体现论文的价值判断：策略不是只要利润最高就好，还要能控制尾部风险、减少无效修正，并保持制度可执行。</w:t>
      </w:r>
    </w:p>
    <w:p w14:paraId="3E44E557" w14:textId="6EC4434F" w:rsidR="00DB6CA4" w:rsidRDefault="00000000" w:rsidP="00D95A2B">
      <w:pPr>
        <w:spacing w:before="160" w:after="80"/>
        <w:rPr>
          <w:rFonts w:hint="eastAsia"/>
          <w:lang w:eastAsia="zh-CN"/>
        </w:rPr>
      </w:pPr>
      <w:r>
        <w:rPr>
          <w:rFonts w:ascii="黑体" w:eastAsia="黑体" w:hAnsi="黑体"/>
          <w:b/>
          <w:sz w:val="30"/>
          <w:lang w:eastAsia="zh-CN"/>
        </w:rPr>
        <w:t>算法程序实现详情</w:t>
      </w:r>
    </w:p>
    <w:tbl>
      <w:tblPr>
        <w:tblStyle w:val="aff1"/>
        <w:tblW w:w="0" w:type="auto"/>
        <w:jc w:val="center"/>
        <w:tblLook w:val="04A0" w:firstRow="1" w:lastRow="0" w:firstColumn="1" w:lastColumn="0" w:noHBand="0" w:noVBand="1"/>
      </w:tblPr>
      <w:tblGrid>
        <w:gridCol w:w="2608"/>
        <w:gridCol w:w="5783"/>
      </w:tblGrid>
      <w:tr w:rsidR="00DB6CA4" w14:paraId="44914245" w14:textId="77777777">
        <w:trPr>
          <w:jc w:val="center"/>
        </w:trPr>
        <w:tc>
          <w:tcPr>
            <w:tcW w:w="2608" w:type="dxa"/>
            <w:shd w:val="clear" w:color="auto" w:fill="D9EAF7"/>
            <w:vAlign w:val="center"/>
          </w:tcPr>
          <w:p w14:paraId="741F0010" w14:textId="77777777" w:rsidR="00DB6CA4" w:rsidRDefault="00000000">
            <w:pPr>
              <w:spacing w:line="288" w:lineRule="auto"/>
              <w:rPr>
                <w:rFonts w:hint="eastAsia"/>
              </w:rPr>
            </w:pPr>
            <w:r>
              <w:rPr>
                <w:b/>
                <w:sz w:val="21"/>
              </w:rPr>
              <w:t>项目</w:t>
            </w:r>
          </w:p>
        </w:tc>
        <w:tc>
          <w:tcPr>
            <w:tcW w:w="5783" w:type="dxa"/>
            <w:shd w:val="clear" w:color="auto" w:fill="D9EAF7"/>
            <w:vAlign w:val="center"/>
          </w:tcPr>
          <w:p w14:paraId="64524E43" w14:textId="77777777" w:rsidR="00DB6CA4" w:rsidRDefault="00000000">
            <w:pPr>
              <w:spacing w:line="288" w:lineRule="auto"/>
              <w:rPr>
                <w:rFonts w:hint="eastAsia"/>
              </w:rPr>
            </w:pPr>
            <w:r>
              <w:rPr>
                <w:b/>
                <w:sz w:val="21"/>
              </w:rPr>
              <w:t>当前状态</w:t>
            </w:r>
          </w:p>
        </w:tc>
      </w:tr>
      <w:tr w:rsidR="00DB6CA4" w14:paraId="22932466" w14:textId="77777777">
        <w:trPr>
          <w:jc w:val="center"/>
        </w:trPr>
        <w:tc>
          <w:tcPr>
            <w:tcW w:w="2608" w:type="dxa"/>
            <w:vAlign w:val="center"/>
          </w:tcPr>
          <w:p w14:paraId="13A83A6B" w14:textId="77777777" w:rsidR="00DB6CA4" w:rsidRDefault="00000000">
            <w:pPr>
              <w:spacing w:line="288" w:lineRule="auto"/>
              <w:rPr>
                <w:rFonts w:hint="eastAsia"/>
              </w:rPr>
            </w:pPr>
            <w:r>
              <w:rPr>
                <w:sz w:val="21"/>
              </w:rPr>
              <w:t>样本期</w:t>
            </w:r>
          </w:p>
        </w:tc>
        <w:tc>
          <w:tcPr>
            <w:tcW w:w="5783" w:type="dxa"/>
            <w:vAlign w:val="center"/>
          </w:tcPr>
          <w:p w14:paraId="37D5DD2F" w14:textId="77777777" w:rsidR="00DB6CA4" w:rsidRDefault="00000000">
            <w:pPr>
              <w:spacing w:line="288" w:lineRule="auto"/>
              <w:rPr>
                <w:rFonts w:hint="eastAsia"/>
              </w:rPr>
            </w:pPr>
            <w:r>
              <w:rPr>
                <w:sz w:val="21"/>
              </w:rPr>
              <w:t>2025-11-01 00:00:00 至 2026-03-20 23:45:00</w:t>
            </w:r>
          </w:p>
        </w:tc>
      </w:tr>
      <w:tr w:rsidR="00DB6CA4" w14:paraId="2BEE276C" w14:textId="77777777">
        <w:trPr>
          <w:jc w:val="center"/>
        </w:trPr>
        <w:tc>
          <w:tcPr>
            <w:tcW w:w="2608" w:type="dxa"/>
            <w:vAlign w:val="center"/>
          </w:tcPr>
          <w:p w14:paraId="01E82C1C" w14:textId="77777777" w:rsidR="00DB6CA4" w:rsidRDefault="00000000">
            <w:pPr>
              <w:spacing w:line="288" w:lineRule="auto"/>
              <w:rPr>
                <w:rFonts w:hint="eastAsia"/>
              </w:rPr>
            </w:pPr>
            <w:r>
              <w:rPr>
                <w:sz w:val="21"/>
              </w:rPr>
              <w:t>数据质量</w:t>
            </w:r>
          </w:p>
        </w:tc>
        <w:tc>
          <w:tcPr>
            <w:tcW w:w="5783" w:type="dxa"/>
            <w:vAlign w:val="center"/>
          </w:tcPr>
          <w:p w14:paraId="42F0D37C" w14:textId="77777777" w:rsidR="00DB6CA4" w:rsidRDefault="00000000">
            <w:pPr>
              <w:spacing w:line="288" w:lineRule="auto"/>
              <w:rPr>
                <w:rFonts w:hint="eastAsia"/>
                <w:lang w:eastAsia="zh-CN"/>
              </w:rPr>
            </w:pPr>
            <w:r>
              <w:rPr>
                <w:sz w:val="21"/>
                <w:lang w:eastAsia="zh-CN"/>
              </w:rPr>
              <w:t>主样本期13440行；去重后缺失15分钟时点数为0</w:t>
            </w:r>
          </w:p>
        </w:tc>
      </w:tr>
      <w:tr w:rsidR="00DB6CA4" w14:paraId="23384CEB" w14:textId="77777777">
        <w:trPr>
          <w:jc w:val="center"/>
        </w:trPr>
        <w:tc>
          <w:tcPr>
            <w:tcW w:w="2608" w:type="dxa"/>
            <w:vAlign w:val="center"/>
          </w:tcPr>
          <w:p w14:paraId="6A6B2FE0" w14:textId="77777777" w:rsidR="00DB6CA4" w:rsidRDefault="00000000">
            <w:pPr>
              <w:spacing w:line="288" w:lineRule="auto"/>
              <w:rPr>
                <w:rFonts w:hint="eastAsia"/>
              </w:rPr>
            </w:pPr>
            <w:r>
              <w:rPr>
                <w:sz w:val="21"/>
              </w:rPr>
              <w:t>政策解析</w:t>
            </w:r>
          </w:p>
        </w:tc>
        <w:tc>
          <w:tcPr>
            <w:tcW w:w="5783" w:type="dxa"/>
            <w:vAlign w:val="center"/>
          </w:tcPr>
          <w:p w14:paraId="2D1895D1" w14:textId="77777777" w:rsidR="00DB6CA4" w:rsidRDefault="00000000">
            <w:pPr>
              <w:spacing w:line="288" w:lineRule="auto"/>
              <w:rPr>
                <w:rFonts w:hint="eastAsia"/>
                <w:lang w:eastAsia="zh-CN"/>
              </w:rPr>
            </w:pPr>
            <w:r>
              <w:rPr>
                <w:sz w:val="21"/>
                <w:lang w:eastAsia="zh-CN"/>
              </w:rPr>
              <w:t>政策来源文件18个；正式规则34条；解析失败0条</w:t>
            </w:r>
          </w:p>
        </w:tc>
      </w:tr>
      <w:tr w:rsidR="00DB6CA4" w14:paraId="7E647BD5" w14:textId="77777777">
        <w:trPr>
          <w:jc w:val="center"/>
        </w:trPr>
        <w:tc>
          <w:tcPr>
            <w:tcW w:w="2608" w:type="dxa"/>
            <w:vAlign w:val="center"/>
          </w:tcPr>
          <w:p w14:paraId="41EB8C9E" w14:textId="77777777" w:rsidR="00DB6CA4" w:rsidRDefault="00000000">
            <w:pPr>
              <w:spacing w:line="288" w:lineRule="auto"/>
              <w:rPr>
                <w:rFonts w:hint="eastAsia"/>
              </w:rPr>
            </w:pPr>
            <w:r>
              <w:rPr>
                <w:sz w:val="21"/>
              </w:rPr>
              <w:t>特征与风险因子</w:t>
            </w:r>
          </w:p>
        </w:tc>
        <w:tc>
          <w:tcPr>
            <w:tcW w:w="5783" w:type="dxa"/>
            <w:vAlign w:val="center"/>
          </w:tcPr>
          <w:p w14:paraId="047E5A8D" w14:textId="77777777" w:rsidR="00DB6CA4" w:rsidRDefault="00000000">
            <w:pPr>
              <w:spacing w:line="288" w:lineRule="auto"/>
              <w:rPr>
                <w:rFonts w:hint="eastAsia"/>
                <w:lang w:eastAsia="zh-CN"/>
              </w:rPr>
            </w:pPr>
            <w:r>
              <w:rPr>
                <w:sz w:val="21"/>
                <w:lang w:eastAsia="zh-CN"/>
              </w:rPr>
              <w:t>特征清单176行；风险因子清单20行；政策状态轨迹21周</w:t>
            </w:r>
          </w:p>
        </w:tc>
      </w:tr>
      <w:tr w:rsidR="00DB6CA4" w14:paraId="62B227A4" w14:textId="77777777">
        <w:trPr>
          <w:jc w:val="center"/>
        </w:trPr>
        <w:tc>
          <w:tcPr>
            <w:tcW w:w="2608" w:type="dxa"/>
            <w:vAlign w:val="center"/>
          </w:tcPr>
          <w:p w14:paraId="6FEF8573" w14:textId="77777777" w:rsidR="00DB6CA4" w:rsidRDefault="00000000">
            <w:pPr>
              <w:spacing w:line="288" w:lineRule="auto"/>
              <w:rPr>
                <w:rFonts w:hint="eastAsia"/>
              </w:rPr>
            </w:pPr>
            <w:r>
              <w:rPr>
                <w:sz w:val="21"/>
              </w:rPr>
              <w:t>模型结构</w:t>
            </w:r>
          </w:p>
        </w:tc>
        <w:tc>
          <w:tcPr>
            <w:tcW w:w="5783" w:type="dxa"/>
            <w:vAlign w:val="center"/>
          </w:tcPr>
          <w:p w14:paraId="52DF7C58" w14:textId="77777777" w:rsidR="00DB6CA4" w:rsidRDefault="00000000">
            <w:pPr>
              <w:spacing w:line="288" w:lineRule="auto"/>
              <w:rPr>
                <w:rFonts w:hint="eastAsia"/>
                <w:lang w:eastAsia="zh-CN"/>
              </w:rPr>
            </w:pPr>
            <w:r>
              <w:rPr>
                <w:sz w:val="21"/>
                <w:lang w:eastAsia="zh-CN"/>
              </w:rPr>
              <w:t>上层参数真实维度182；下层参数维度48</w:t>
            </w:r>
          </w:p>
        </w:tc>
      </w:tr>
      <w:tr w:rsidR="00DB6CA4" w14:paraId="2340F0E7" w14:textId="77777777">
        <w:trPr>
          <w:jc w:val="center"/>
        </w:trPr>
        <w:tc>
          <w:tcPr>
            <w:tcW w:w="2608" w:type="dxa"/>
            <w:vAlign w:val="center"/>
          </w:tcPr>
          <w:p w14:paraId="67A79917" w14:textId="77777777" w:rsidR="00DB6CA4" w:rsidRDefault="00000000">
            <w:pPr>
              <w:spacing w:line="288" w:lineRule="auto"/>
              <w:rPr>
                <w:rFonts w:hint="eastAsia"/>
              </w:rPr>
            </w:pPr>
            <w:r>
              <w:rPr>
                <w:sz w:val="21"/>
              </w:rPr>
              <w:t>搜索预算</w:t>
            </w:r>
          </w:p>
        </w:tc>
        <w:tc>
          <w:tcPr>
            <w:tcW w:w="5783" w:type="dxa"/>
            <w:vAlign w:val="center"/>
          </w:tcPr>
          <w:p w14:paraId="23A8F162" w14:textId="77777777" w:rsidR="00DB6CA4" w:rsidRDefault="00000000">
            <w:pPr>
              <w:spacing w:line="288" w:lineRule="auto"/>
              <w:rPr>
                <w:rFonts w:hint="eastAsia"/>
                <w:lang w:eastAsia="zh-CN"/>
              </w:rPr>
            </w:pPr>
            <w:r>
              <w:rPr>
                <w:sz w:val="21"/>
                <w:lang w:eastAsia="zh-CN"/>
              </w:rPr>
              <w:t>上层粒子192、下层粒子160；迭代轮数320</w:t>
            </w:r>
          </w:p>
        </w:tc>
      </w:tr>
      <w:tr w:rsidR="00DB6CA4" w14:paraId="36C4FE39" w14:textId="77777777">
        <w:trPr>
          <w:jc w:val="center"/>
        </w:trPr>
        <w:tc>
          <w:tcPr>
            <w:tcW w:w="2608" w:type="dxa"/>
            <w:vAlign w:val="center"/>
          </w:tcPr>
          <w:p w14:paraId="0D669F85" w14:textId="77777777" w:rsidR="00DB6CA4" w:rsidRDefault="00000000">
            <w:pPr>
              <w:spacing w:line="288" w:lineRule="auto"/>
              <w:rPr>
                <w:rFonts w:hint="eastAsia"/>
              </w:rPr>
            </w:pPr>
            <w:r>
              <w:rPr>
                <w:sz w:val="21"/>
              </w:rPr>
              <w:t>训练周与验证周</w:t>
            </w:r>
          </w:p>
        </w:tc>
        <w:tc>
          <w:tcPr>
            <w:tcW w:w="5783" w:type="dxa"/>
            <w:vAlign w:val="center"/>
          </w:tcPr>
          <w:p w14:paraId="35025D60" w14:textId="77777777" w:rsidR="00DB6CA4" w:rsidRDefault="00000000">
            <w:pPr>
              <w:spacing w:line="288" w:lineRule="auto"/>
              <w:rPr>
                <w:rFonts w:hint="eastAsia"/>
              </w:rPr>
            </w:pPr>
            <w:r>
              <w:rPr>
                <w:sz w:val="21"/>
              </w:rPr>
              <w:t>训练周13周；验证周4周</w:t>
            </w:r>
          </w:p>
        </w:tc>
      </w:tr>
      <w:tr w:rsidR="00DB6CA4" w14:paraId="5482FBE6" w14:textId="77777777">
        <w:trPr>
          <w:jc w:val="center"/>
        </w:trPr>
        <w:tc>
          <w:tcPr>
            <w:tcW w:w="2608" w:type="dxa"/>
            <w:vAlign w:val="center"/>
          </w:tcPr>
          <w:p w14:paraId="3E599C16" w14:textId="77777777" w:rsidR="00DB6CA4" w:rsidRDefault="00000000">
            <w:pPr>
              <w:spacing w:line="288" w:lineRule="auto"/>
              <w:rPr>
                <w:rFonts w:hint="eastAsia"/>
              </w:rPr>
            </w:pPr>
            <w:r>
              <w:rPr>
                <w:sz w:val="21"/>
              </w:rPr>
              <w:t>模型产物</w:t>
            </w:r>
          </w:p>
        </w:tc>
        <w:tc>
          <w:tcPr>
            <w:tcW w:w="5783" w:type="dxa"/>
            <w:vAlign w:val="center"/>
          </w:tcPr>
          <w:p w14:paraId="0EC5C77F" w14:textId="77777777" w:rsidR="00DB6CA4" w:rsidRDefault="00000000">
            <w:pPr>
              <w:spacing w:line="288" w:lineRule="auto"/>
              <w:rPr>
                <w:rFonts w:hint="eastAsia"/>
                <w:lang w:eastAsia="zh-CN"/>
              </w:rPr>
            </w:pPr>
            <w:r>
              <w:rPr>
                <w:sz w:val="21"/>
                <w:lang w:eastAsia="zh-CN"/>
              </w:rPr>
              <w:t>已保存双层HPSO最优参数模型文件和训练轨迹</w:t>
            </w:r>
          </w:p>
        </w:tc>
      </w:tr>
      <w:tr w:rsidR="00DB6CA4" w14:paraId="51AD37AC" w14:textId="77777777">
        <w:trPr>
          <w:jc w:val="center"/>
        </w:trPr>
        <w:tc>
          <w:tcPr>
            <w:tcW w:w="2608" w:type="dxa"/>
            <w:vAlign w:val="center"/>
          </w:tcPr>
          <w:p w14:paraId="40067933" w14:textId="77777777" w:rsidR="00DB6CA4" w:rsidRDefault="00000000">
            <w:pPr>
              <w:spacing w:line="288" w:lineRule="auto"/>
              <w:rPr>
                <w:rFonts w:hint="eastAsia"/>
              </w:rPr>
            </w:pPr>
            <w:r>
              <w:rPr>
                <w:sz w:val="21"/>
              </w:rPr>
              <w:t>回测口径</w:t>
            </w:r>
          </w:p>
        </w:tc>
        <w:tc>
          <w:tcPr>
            <w:tcW w:w="5783" w:type="dxa"/>
            <w:vAlign w:val="center"/>
          </w:tcPr>
          <w:p w14:paraId="536480C7" w14:textId="77777777" w:rsidR="00DB6CA4" w:rsidRDefault="00000000">
            <w:pPr>
              <w:spacing w:line="288" w:lineRule="auto"/>
              <w:rPr>
                <w:rFonts w:hint="eastAsia"/>
                <w:lang w:eastAsia="zh-CN"/>
              </w:rPr>
            </w:pPr>
            <w:r>
              <w:rPr>
                <w:sz w:val="21"/>
                <w:lang w:eastAsia="zh-CN"/>
              </w:rPr>
              <w:t>10个滚动窗口；持出集基准比较7周</w:t>
            </w:r>
          </w:p>
        </w:tc>
      </w:tr>
    </w:tbl>
    <w:p w14:paraId="7D3D921B" w14:textId="77777777" w:rsidR="00DB6CA4" w:rsidRDefault="00DB6CA4">
      <w:pPr>
        <w:rPr>
          <w:rFonts w:hint="eastAsia"/>
          <w:lang w:eastAsia="zh-CN"/>
        </w:rPr>
      </w:pPr>
    </w:p>
    <w:p w14:paraId="3E1B00BB" w14:textId="355EB5FB" w:rsidR="00DB6CA4" w:rsidRDefault="00000000">
      <w:pPr>
        <w:spacing w:after="60" w:line="348" w:lineRule="auto"/>
        <w:ind w:firstLine="420"/>
        <w:rPr>
          <w:rFonts w:hint="eastAsia"/>
          <w:lang w:eastAsia="zh-CN"/>
        </w:rPr>
      </w:pPr>
      <w:r>
        <w:rPr>
          <w:lang w:eastAsia="zh-CN"/>
        </w:rPr>
        <w:t>实现链路：配置读取与运行上下文构造；15分钟数据清洗和周度、小时级特征编译；政策文件扫描、规则表生成和制度状态构造；政策可行域与投影边界生成；张量包编译；双层HPSO训练；验证集物化；滚动回测、基准比较、消融、稳健性与约束激活审计。</w:t>
      </w:r>
    </w:p>
    <w:p w14:paraId="2CF7E791" w14:textId="0ED25582" w:rsidR="00DB6CA4" w:rsidRDefault="00000000">
      <w:pPr>
        <w:spacing w:after="60" w:line="348" w:lineRule="auto"/>
        <w:ind w:firstLine="420"/>
        <w:rPr>
          <w:rFonts w:hint="eastAsia"/>
          <w:lang w:eastAsia="zh-CN"/>
        </w:rPr>
      </w:pPr>
      <w:r>
        <w:rPr>
          <w:lang w:eastAsia="zh-CN"/>
        </w:rPr>
        <w:t>算法：在可解释的参数结构上进行双层混合粒子群搜索，上层参数负责周度市场特征权重、政策状态权重、合约曲线隐变量和动作头，下层参数负责价差响应、负荷偏差响应、新能源扰动响应和政策收缩响应。</w:t>
      </w:r>
    </w:p>
    <w:p w14:paraId="3D7B7327" w14:textId="7A572C1A" w:rsidR="00DB6CA4" w:rsidRDefault="00000000">
      <w:pPr>
        <w:spacing w:before="160" w:after="80"/>
        <w:rPr>
          <w:rFonts w:hint="eastAsia"/>
        </w:rPr>
      </w:pPr>
      <w:r>
        <w:rPr>
          <w:rFonts w:ascii="黑体" w:eastAsia="黑体" w:hAnsi="黑体"/>
          <w:b/>
          <w:sz w:val="30"/>
        </w:rPr>
        <w:lastRenderedPageBreak/>
        <w:t>阶段性运行结果</w:t>
      </w:r>
    </w:p>
    <w:tbl>
      <w:tblPr>
        <w:tblStyle w:val="aff1"/>
        <w:tblW w:w="0" w:type="auto"/>
        <w:jc w:val="center"/>
        <w:tblLook w:val="04A0" w:firstRow="1" w:lastRow="0" w:firstColumn="1" w:lastColumn="0" w:noHBand="0" w:noVBand="1"/>
      </w:tblPr>
      <w:tblGrid>
        <w:gridCol w:w="2268"/>
        <w:gridCol w:w="6236"/>
      </w:tblGrid>
      <w:tr w:rsidR="00DB6CA4" w14:paraId="2ED227B9" w14:textId="77777777">
        <w:trPr>
          <w:jc w:val="center"/>
        </w:trPr>
        <w:tc>
          <w:tcPr>
            <w:tcW w:w="2268" w:type="dxa"/>
            <w:shd w:val="clear" w:color="auto" w:fill="D9EAF7"/>
            <w:vAlign w:val="center"/>
          </w:tcPr>
          <w:p w14:paraId="43FD71F7" w14:textId="77777777" w:rsidR="00DB6CA4" w:rsidRDefault="00000000">
            <w:pPr>
              <w:spacing w:line="288" w:lineRule="auto"/>
              <w:rPr>
                <w:rFonts w:hint="eastAsia"/>
              </w:rPr>
            </w:pPr>
            <w:r>
              <w:rPr>
                <w:b/>
                <w:sz w:val="21"/>
              </w:rPr>
              <w:t>评价口径</w:t>
            </w:r>
          </w:p>
        </w:tc>
        <w:tc>
          <w:tcPr>
            <w:tcW w:w="6236" w:type="dxa"/>
            <w:shd w:val="clear" w:color="auto" w:fill="D9EAF7"/>
            <w:vAlign w:val="center"/>
          </w:tcPr>
          <w:p w14:paraId="6D09DF8D" w14:textId="77777777" w:rsidR="00DB6CA4" w:rsidRDefault="00000000">
            <w:pPr>
              <w:spacing w:line="288" w:lineRule="auto"/>
              <w:rPr>
                <w:rFonts w:hint="eastAsia"/>
              </w:rPr>
            </w:pPr>
            <w:r>
              <w:rPr>
                <w:b/>
                <w:sz w:val="21"/>
              </w:rPr>
              <w:t>结果</w:t>
            </w:r>
          </w:p>
        </w:tc>
      </w:tr>
      <w:tr w:rsidR="00DB6CA4" w14:paraId="0DF84C8B" w14:textId="77777777">
        <w:trPr>
          <w:jc w:val="center"/>
        </w:trPr>
        <w:tc>
          <w:tcPr>
            <w:tcW w:w="2268" w:type="dxa"/>
            <w:vAlign w:val="center"/>
          </w:tcPr>
          <w:p w14:paraId="4F4AB5A7" w14:textId="77777777" w:rsidR="00DB6CA4" w:rsidRDefault="00000000">
            <w:pPr>
              <w:spacing w:line="288" w:lineRule="auto"/>
              <w:rPr>
                <w:rFonts w:hint="eastAsia"/>
              </w:rPr>
            </w:pPr>
            <w:r>
              <w:rPr>
                <w:sz w:val="21"/>
              </w:rPr>
              <w:t>验证集</w:t>
            </w:r>
          </w:p>
        </w:tc>
        <w:tc>
          <w:tcPr>
            <w:tcW w:w="6236" w:type="dxa"/>
            <w:vAlign w:val="center"/>
          </w:tcPr>
          <w:p w14:paraId="0027B285" w14:textId="77777777" w:rsidR="00DB6CA4" w:rsidRDefault="00000000">
            <w:pPr>
              <w:spacing w:line="288" w:lineRule="auto"/>
              <w:rPr>
                <w:rFonts w:hint="eastAsia"/>
                <w:lang w:eastAsia="zh-CN"/>
              </w:rPr>
            </w:pPr>
            <w:r>
              <w:rPr>
                <w:sz w:val="21"/>
                <w:lang w:eastAsia="zh-CN"/>
              </w:rPr>
              <w:t>累计采购成本4,817,520,512.00；累计收益1,178,132,608.00；CVaR99为3,075,646.06；套保误差0.6991</w:t>
            </w:r>
          </w:p>
        </w:tc>
      </w:tr>
      <w:tr w:rsidR="00DB6CA4" w14:paraId="36B09FCC" w14:textId="77777777">
        <w:trPr>
          <w:jc w:val="center"/>
        </w:trPr>
        <w:tc>
          <w:tcPr>
            <w:tcW w:w="2268" w:type="dxa"/>
            <w:vAlign w:val="center"/>
          </w:tcPr>
          <w:p w14:paraId="099D3B21" w14:textId="77777777" w:rsidR="00DB6CA4" w:rsidRDefault="00000000">
            <w:pPr>
              <w:spacing w:line="288" w:lineRule="auto"/>
              <w:rPr>
                <w:rFonts w:hint="eastAsia"/>
              </w:rPr>
            </w:pPr>
            <w:r>
              <w:rPr>
                <w:sz w:val="21"/>
              </w:rPr>
              <w:t>滚动回测</w:t>
            </w:r>
          </w:p>
        </w:tc>
        <w:tc>
          <w:tcPr>
            <w:tcW w:w="6236" w:type="dxa"/>
            <w:vAlign w:val="center"/>
          </w:tcPr>
          <w:p w14:paraId="6FF21F88" w14:textId="77777777" w:rsidR="00DB6CA4" w:rsidRDefault="00000000">
            <w:pPr>
              <w:spacing w:line="288" w:lineRule="auto"/>
              <w:rPr>
                <w:rFonts w:hint="eastAsia"/>
                <w:lang w:eastAsia="zh-CN"/>
              </w:rPr>
            </w:pPr>
            <w:r>
              <w:rPr>
                <w:sz w:val="21"/>
                <w:lang w:eastAsia="zh-CN"/>
              </w:rPr>
              <w:t>10个窗口；平均采购成本1,310,186,739.20；平均收益254,782,348.80；平均CVaR99为3,434,425.25</w:t>
            </w:r>
          </w:p>
        </w:tc>
      </w:tr>
      <w:tr w:rsidR="00DB6CA4" w14:paraId="0C78CC18" w14:textId="77777777">
        <w:trPr>
          <w:jc w:val="center"/>
        </w:trPr>
        <w:tc>
          <w:tcPr>
            <w:tcW w:w="2268" w:type="dxa"/>
            <w:vAlign w:val="center"/>
          </w:tcPr>
          <w:p w14:paraId="30EF16AC" w14:textId="77777777" w:rsidR="00DB6CA4" w:rsidRDefault="00000000">
            <w:pPr>
              <w:spacing w:line="288" w:lineRule="auto"/>
              <w:rPr>
                <w:rFonts w:hint="eastAsia"/>
              </w:rPr>
            </w:pPr>
            <w:r>
              <w:rPr>
                <w:sz w:val="21"/>
              </w:rPr>
              <w:t>强基准</w:t>
            </w:r>
          </w:p>
        </w:tc>
        <w:tc>
          <w:tcPr>
            <w:tcW w:w="6236" w:type="dxa"/>
            <w:vAlign w:val="center"/>
          </w:tcPr>
          <w:p w14:paraId="5F459BD9" w14:textId="77777777" w:rsidR="00DB6CA4" w:rsidRDefault="00000000">
            <w:pPr>
              <w:spacing w:line="288" w:lineRule="auto"/>
              <w:rPr>
                <w:rFonts w:hint="eastAsia"/>
              </w:rPr>
            </w:pPr>
            <w:r>
              <w:rPr>
                <w:sz w:val="21"/>
              </w:rPr>
              <w:t>dynamic_lock_only持出集利润1,459,720,481.00，CVaR99为2,724,291.18</w:t>
            </w:r>
          </w:p>
        </w:tc>
      </w:tr>
      <w:tr w:rsidR="00DB6CA4" w14:paraId="4C023248" w14:textId="77777777">
        <w:trPr>
          <w:jc w:val="center"/>
        </w:trPr>
        <w:tc>
          <w:tcPr>
            <w:tcW w:w="2268" w:type="dxa"/>
            <w:vAlign w:val="center"/>
          </w:tcPr>
          <w:p w14:paraId="113A7CA7" w14:textId="77777777" w:rsidR="00DB6CA4" w:rsidRDefault="00000000">
            <w:pPr>
              <w:spacing w:line="288" w:lineRule="auto"/>
              <w:rPr>
                <w:rFonts w:hint="eastAsia"/>
              </w:rPr>
            </w:pPr>
            <w:r>
              <w:rPr>
                <w:sz w:val="21"/>
              </w:rPr>
              <w:t>利润领先基准</w:t>
            </w:r>
          </w:p>
        </w:tc>
        <w:tc>
          <w:tcPr>
            <w:tcW w:w="6236" w:type="dxa"/>
            <w:vAlign w:val="center"/>
          </w:tcPr>
          <w:p w14:paraId="0BCCD489" w14:textId="77777777" w:rsidR="00DB6CA4" w:rsidRDefault="00000000">
            <w:pPr>
              <w:spacing w:line="288" w:lineRule="auto"/>
              <w:rPr>
                <w:rFonts w:hint="eastAsia"/>
              </w:rPr>
            </w:pPr>
            <w:r>
              <w:rPr>
                <w:sz w:val="21"/>
              </w:rPr>
              <w:t>static_no_spot_adjustment持出集利润1,529,931,745.00，比dynamic_lock_only高70,211,264.00，但CVaR99也更高</w:t>
            </w:r>
          </w:p>
        </w:tc>
      </w:tr>
      <w:tr w:rsidR="00DB6CA4" w14:paraId="6DFC7CC0" w14:textId="77777777">
        <w:trPr>
          <w:jc w:val="center"/>
        </w:trPr>
        <w:tc>
          <w:tcPr>
            <w:tcW w:w="2268" w:type="dxa"/>
            <w:vAlign w:val="center"/>
          </w:tcPr>
          <w:p w14:paraId="0B4FDBEF" w14:textId="77777777" w:rsidR="00DB6CA4" w:rsidRDefault="00000000">
            <w:pPr>
              <w:spacing w:line="288" w:lineRule="auto"/>
              <w:rPr>
                <w:rFonts w:hint="eastAsia"/>
              </w:rPr>
            </w:pPr>
            <w:r>
              <w:rPr>
                <w:sz w:val="21"/>
              </w:rPr>
              <w:t>解释口径</w:t>
            </w:r>
          </w:p>
        </w:tc>
        <w:tc>
          <w:tcPr>
            <w:tcW w:w="6236" w:type="dxa"/>
            <w:vAlign w:val="center"/>
          </w:tcPr>
          <w:p w14:paraId="11B52942" w14:textId="77777777" w:rsidR="00DB6CA4" w:rsidRDefault="00000000">
            <w:pPr>
              <w:spacing w:line="288" w:lineRule="auto"/>
              <w:rPr>
                <w:rFonts w:hint="eastAsia"/>
                <w:lang w:eastAsia="zh-CN"/>
              </w:rPr>
            </w:pPr>
            <w:r>
              <w:rPr>
                <w:sz w:val="21"/>
                <w:lang w:eastAsia="zh-CN"/>
              </w:rPr>
              <w:t>主策略和基准的优劣需按收益、风险、交易摩擦、现货修正空间和滚动窗口表现共同解释</w:t>
            </w:r>
          </w:p>
        </w:tc>
      </w:tr>
    </w:tbl>
    <w:p w14:paraId="0A4ABF4C" w14:textId="77777777" w:rsidR="00DB6CA4" w:rsidRDefault="00DB6CA4">
      <w:pPr>
        <w:rPr>
          <w:rFonts w:hint="eastAsia"/>
          <w:lang w:eastAsia="zh-CN"/>
        </w:rPr>
      </w:pPr>
    </w:p>
    <w:p w14:paraId="70998FA9" w14:textId="36271B9E" w:rsidR="00DB6CA4" w:rsidRDefault="00000000">
      <w:pPr>
        <w:spacing w:after="60" w:line="348" w:lineRule="auto"/>
        <w:ind w:firstLine="420"/>
        <w:rPr>
          <w:rFonts w:hint="eastAsia"/>
          <w:lang w:eastAsia="zh-CN"/>
        </w:rPr>
      </w:pPr>
      <w:r>
        <w:rPr>
          <w:lang w:eastAsia="zh-CN"/>
        </w:rPr>
        <w:t>结果说明当前程序具备论文第五章所需的基本证据，在持出集利润上，静态无现货修正策略阶段性更高，说明样本期内现货边际修正的收益空间有限，交易摩擦和偏差成本可能抵消部分调整收益。主模型的价值应放在制度可执行性、风险边界、滚动窗口稳定性和可解释策略结构上综合讨论。</w:t>
      </w:r>
    </w:p>
    <w:p w14:paraId="4E294A6B" w14:textId="7D43CBC4" w:rsidR="00DB6CA4" w:rsidRDefault="00000000">
      <w:pPr>
        <w:spacing w:before="160" w:after="80"/>
        <w:rPr>
          <w:rFonts w:hint="eastAsia"/>
          <w:lang w:eastAsia="zh-CN"/>
        </w:rPr>
      </w:pPr>
      <w:r>
        <w:rPr>
          <w:rFonts w:ascii="黑体" w:eastAsia="黑体" w:hAnsi="黑体"/>
          <w:b/>
          <w:sz w:val="30"/>
          <w:lang w:eastAsia="zh-CN"/>
        </w:rPr>
        <w:t>论文撰写情况</w:t>
      </w:r>
    </w:p>
    <w:p w14:paraId="2118C6CF" w14:textId="77777777" w:rsidR="00DB6CA4" w:rsidRDefault="00000000">
      <w:pPr>
        <w:spacing w:after="60" w:line="348" w:lineRule="auto"/>
        <w:ind w:firstLine="420"/>
        <w:rPr>
          <w:rFonts w:hint="eastAsia"/>
          <w:lang w:eastAsia="zh-CN"/>
        </w:rPr>
      </w:pPr>
      <w:r>
        <w:rPr>
          <w:lang w:eastAsia="zh-CN"/>
        </w:rPr>
        <w:t>开题报告已经完成，内容包括研究目的、文献综述、研究重点难点、拟采用的研究手段、进度安排和参考文献。总规划已经把论文主线整理为“制度识别—风险机理—数学模型—双层HPSO—回测评价—结论建议”，能够作为后续章节写作的框架。</w:t>
      </w:r>
    </w:p>
    <w:p w14:paraId="4E8FC82B" w14:textId="77777777" w:rsidR="00DB6CA4" w:rsidRDefault="00000000">
      <w:pPr>
        <w:spacing w:after="60" w:line="348" w:lineRule="auto"/>
        <w:ind w:firstLine="420"/>
        <w:rPr>
          <w:rFonts w:hint="eastAsia"/>
          <w:lang w:eastAsia="zh-CN"/>
        </w:rPr>
      </w:pPr>
      <w:r>
        <w:rPr>
          <w:lang w:eastAsia="zh-CN"/>
        </w:rPr>
        <w:t>现有草稿已有第一章和第二章的部分文字基础，尤其是研究背景、湖南市场制度、售电公司收益链条和风险来源部分可以继续使用。但草稿中仍有旧的深度强化学习和月度持仓痕迹，不能直接作为当前正文定稿。后续写作应以周度持仓、小时级现货修正、15分钟代理结算和政策可行域为主线重写相关段落。</w:t>
      </w:r>
    </w:p>
    <w:tbl>
      <w:tblPr>
        <w:tblStyle w:val="aff1"/>
        <w:tblW w:w="0" w:type="auto"/>
        <w:jc w:val="center"/>
        <w:tblLook w:val="04A0" w:firstRow="1" w:lastRow="0" w:firstColumn="1" w:lastColumn="0" w:noHBand="0" w:noVBand="1"/>
      </w:tblPr>
      <w:tblGrid>
        <w:gridCol w:w="1928"/>
        <w:gridCol w:w="2608"/>
        <w:gridCol w:w="3969"/>
      </w:tblGrid>
      <w:tr w:rsidR="00DB6CA4" w14:paraId="06A30AE2" w14:textId="77777777">
        <w:trPr>
          <w:jc w:val="center"/>
        </w:trPr>
        <w:tc>
          <w:tcPr>
            <w:tcW w:w="1928" w:type="dxa"/>
            <w:shd w:val="clear" w:color="auto" w:fill="D9EAF7"/>
            <w:vAlign w:val="center"/>
          </w:tcPr>
          <w:p w14:paraId="7CFEF2B5" w14:textId="77777777" w:rsidR="00DB6CA4" w:rsidRDefault="00000000">
            <w:pPr>
              <w:spacing w:line="288" w:lineRule="auto"/>
              <w:rPr>
                <w:rFonts w:hint="eastAsia"/>
              </w:rPr>
            </w:pPr>
            <w:r>
              <w:rPr>
                <w:b/>
                <w:sz w:val="21"/>
              </w:rPr>
              <w:t>时间</w:t>
            </w:r>
          </w:p>
        </w:tc>
        <w:tc>
          <w:tcPr>
            <w:tcW w:w="2608" w:type="dxa"/>
            <w:shd w:val="clear" w:color="auto" w:fill="D9EAF7"/>
            <w:vAlign w:val="center"/>
          </w:tcPr>
          <w:p w14:paraId="5BB208D5" w14:textId="77777777" w:rsidR="00DB6CA4" w:rsidRDefault="00000000">
            <w:pPr>
              <w:spacing w:line="288" w:lineRule="auto"/>
              <w:rPr>
                <w:rFonts w:hint="eastAsia"/>
              </w:rPr>
            </w:pPr>
            <w:r>
              <w:rPr>
                <w:b/>
                <w:sz w:val="21"/>
              </w:rPr>
              <w:t>写作任务</w:t>
            </w:r>
          </w:p>
        </w:tc>
        <w:tc>
          <w:tcPr>
            <w:tcW w:w="3969" w:type="dxa"/>
            <w:shd w:val="clear" w:color="auto" w:fill="D9EAF7"/>
            <w:vAlign w:val="center"/>
          </w:tcPr>
          <w:p w14:paraId="5809AF9D" w14:textId="77777777" w:rsidR="00DB6CA4" w:rsidRDefault="00000000">
            <w:pPr>
              <w:spacing w:line="288" w:lineRule="auto"/>
              <w:rPr>
                <w:rFonts w:hint="eastAsia"/>
              </w:rPr>
            </w:pPr>
            <w:r>
              <w:rPr>
                <w:b/>
                <w:sz w:val="21"/>
              </w:rPr>
              <w:t>当前处理</w:t>
            </w:r>
          </w:p>
        </w:tc>
      </w:tr>
      <w:tr w:rsidR="00DB6CA4" w14:paraId="7A5ECEED" w14:textId="77777777">
        <w:trPr>
          <w:jc w:val="center"/>
        </w:trPr>
        <w:tc>
          <w:tcPr>
            <w:tcW w:w="1928" w:type="dxa"/>
            <w:vAlign w:val="center"/>
          </w:tcPr>
          <w:p w14:paraId="37E52258" w14:textId="77777777" w:rsidR="00DB6CA4" w:rsidRDefault="00000000">
            <w:pPr>
              <w:spacing w:line="288" w:lineRule="auto"/>
              <w:rPr>
                <w:rFonts w:hint="eastAsia"/>
              </w:rPr>
            </w:pPr>
            <w:r>
              <w:rPr>
                <w:sz w:val="21"/>
              </w:rPr>
              <w:t>5月6日—5月12日</w:t>
            </w:r>
          </w:p>
        </w:tc>
        <w:tc>
          <w:tcPr>
            <w:tcW w:w="2608" w:type="dxa"/>
            <w:vAlign w:val="center"/>
          </w:tcPr>
          <w:p w14:paraId="6C63642E" w14:textId="77777777" w:rsidR="00DB6CA4" w:rsidRDefault="00000000">
            <w:pPr>
              <w:spacing w:line="288" w:lineRule="auto"/>
              <w:rPr>
                <w:rFonts w:hint="eastAsia"/>
              </w:rPr>
            </w:pPr>
            <w:r>
              <w:rPr>
                <w:sz w:val="21"/>
              </w:rPr>
              <w:t>第一章和第二章初稿</w:t>
            </w:r>
          </w:p>
        </w:tc>
        <w:tc>
          <w:tcPr>
            <w:tcW w:w="3969" w:type="dxa"/>
            <w:vAlign w:val="center"/>
          </w:tcPr>
          <w:p w14:paraId="3C072D3A" w14:textId="77777777" w:rsidR="00DB6CA4" w:rsidRDefault="00000000">
            <w:pPr>
              <w:spacing w:line="288" w:lineRule="auto"/>
              <w:rPr>
                <w:rFonts w:hint="eastAsia"/>
                <w:lang w:eastAsia="zh-CN"/>
              </w:rPr>
            </w:pPr>
            <w:r>
              <w:rPr>
                <w:sz w:val="21"/>
                <w:lang w:eastAsia="zh-CN"/>
              </w:rPr>
              <w:t>用开题报告和旧草稿可用段落先完成正式正文，剔除旧算法口径</w:t>
            </w:r>
          </w:p>
        </w:tc>
      </w:tr>
      <w:tr w:rsidR="00DB6CA4" w14:paraId="1BC06389" w14:textId="77777777">
        <w:trPr>
          <w:jc w:val="center"/>
        </w:trPr>
        <w:tc>
          <w:tcPr>
            <w:tcW w:w="1928" w:type="dxa"/>
            <w:vAlign w:val="center"/>
          </w:tcPr>
          <w:p w14:paraId="22355788" w14:textId="77777777" w:rsidR="00DB6CA4" w:rsidRDefault="00000000">
            <w:pPr>
              <w:spacing w:line="288" w:lineRule="auto"/>
              <w:rPr>
                <w:rFonts w:hint="eastAsia"/>
              </w:rPr>
            </w:pPr>
            <w:r>
              <w:rPr>
                <w:sz w:val="21"/>
              </w:rPr>
              <w:t>5月13日—5月19日</w:t>
            </w:r>
          </w:p>
        </w:tc>
        <w:tc>
          <w:tcPr>
            <w:tcW w:w="2608" w:type="dxa"/>
            <w:vAlign w:val="center"/>
          </w:tcPr>
          <w:p w14:paraId="736BB294" w14:textId="77777777" w:rsidR="00DB6CA4" w:rsidRDefault="00000000">
            <w:pPr>
              <w:spacing w:line="288" w:lineRule="auto"/>
              <w:rPr>
                <w:rFonts w:hint="eastAsia"/>
              </w:rPr>
            </w:pPr>
            <w:r>
              <w:rPr>
                <w:sz w:val="21"/>
              </w:rPr>
              <w:t>第三章和第四章初稿</w:t>
            </w:r>
          </w:p>
        </w:tc>
        <w:tc>
          <w:tcPr>
            <w:tcW w:w="3969" w:type="dxa"/>
            <w:vAlign w:val="center"/>
          </w:tcPr>
          <w:p w14:paraId="05AEBE1F" w14:textId="77777777" w:rsidR="00DB6CA4" w:rsidRDefault="00000000">
            <w:pPr>
              <w:spacing w:line="288" w:lineRule="auto"/>
              <w:rPr>
                <w:rFonts w:hint="eastAsia"/>
                <w:lang w:eastAsia="zh-CN"/>
              </w:rPr>
            </w:pPr>
            <w:r>
              <w:rPr>
                <w:sz w:val="21"/>
                <w:lang w:eastAsia="zh-CN"/>
              </w:rPr>
              <w:t>把本附件中的公式、变量表和算法链路转为论文正文</w:t>
            </w:r>
          </w:p>
        </w:tc>
      </w:tr>
      <w:tr w:rsidR="00DB6CA4" w14:paraId="44D5899D" w14:textId="77777777">
        <w:trPr>
          <w:jc w:val="center"/>
        </w:trPr>
        <w:tc>
          <w:tcPr>
            <w:tcW w:w="1928" w:type="dxa"/>
            <w:vAlign w:val="center"/>
          </w:tcPr>
          <w:p w14:paraId="3EB7420E" w14:textId="77777777" w:rsidR="00DB6CA4" w:rsidRDefault="00000000">
            <w:pPr>
              <w:spacing w:line="288" w:lineRule="auto"/>
              <w:rPr>
                <w:rFonts w:hint="eastAsia"/>
              </w:rPr>
            </w:pPr>
            <w:r>
              <w:rPr>
                <w:sz w:val="21"/>
              </w:rPr>
              <w:t>5月20日—5月26日</w:t>
            </w:r>
          </w:p>
        </w:tc>
        <w:tc>
          <w:tcPr>
            <w:tcW w:w="2608" w:type="dxa"/>
            <w:vAlign w:val="center"/>
          </w:tcPr>
          <w:p w14:paraId="176DF146" w14:textId="77777777" w:rsidR="00DB6CA4" w:rsidRDefault="00000000">
            <w:pPr>
              <w:spacing w:line="288" w:lineRule="auto"/>
              <w:rPr>
                <w:rFonts w:hint="eastAsia"/>
              </w:rPr>
            </w:pPr>
            <w:r>
              <w:rPr>
                <w:sz w:val="21"/>
              </w:rPr>
              <w:t>第五章实证分析</w:t>
            </w:r>
          </w:p>
        </w:tc>
        <w:tc>
          <w:tcPr>
            <w:tcW w:w="3969" w:type="dxa"/>
            <w:vAlign w:val="center"/>
          </w:tcPr>
          <w:p w14:paraId="6FCDCA44" w14:textId="77777777" w:rsidR="00DB6CA4" w:rsidRDefault="00000000">
            <w:pPr>
              <w:spacing w:line="288" w:lineRule="auto"/>
              <w:rPr>
                <w:rFonts w:hint="eastAsia"/>
                <w:lang w:eastAsia="zh-CN"/>
              </w:rPr>
            </w:pPr>
            <w:r>
              <w:rPr>
                <w:sz w:val="21"/>
                <w:lang w:eastAsia="zh-CN"/>
              </w:rPr>
              <w:t>依据验证、回测、基准、消融和稳健性结果写作</w:t>
            </w:r>
          </w:p>
        </w:tc>
      </w:tr>
      <w:tr w:rsidR="00DB6CA4" w14:paraId="1F30948E" w14:textId="77777777">
        <w:trPr>
          <w:jc w:val="center"/>
        </w:trPr>
        <w:tc>
          <w:tcPr>
            <w:tcW w:w="1928" w:type="dxa"/>
            <w:vAlign w:val="center"/>
          </w:tcPr>
          <w:p w14:paraId="4F0D3010" w14:textId="77777777" w:rsidR="00DB6CA4" w:rsidRDefault="00000000">
            <w:pPr>
              <w:spacing w:line="288" w:lineRule="auto"/>
              <w:rPr>
                <w:rFonts w:hint="eastAsia"/>
              </w:rPr>
            </w:pPr>
            <w:r>
              <w:rPr>
                <w:sz w:val="21"/>
              </w:rPr>
              <w:t>5月27日—5月</w:t>
            </w:r>
            <w:r>
              <w:rPr>
                <w:sz w:val="21"/>
              </w:rPr>
              <w:lastRenderedPageBreak/>
              <w:t>31日</w:t>
            </w:r>
          </w:p>
        </w:tc>
        <w:tc>
          <w:tcPr>
            <w:tcW w:w="2608" w:type="dxa"/>
            <w:vAlign w:val="center"/>
          </w:tcPr>
          <w:p w14:paraId="47F9C275" w14:textId="77777777" w:rsidR="00DB6CA4" w:rsidRDefault="00000000">
            <w:pPr>
              <w:spacing w:line="288" w:lineRule="auto"/>
              <w:rPr>
                <w:rFonts w:hint="eastAsia"/>
              </w:rPr>
            </w:pPr>
            <w:r>
              <w:rPr>
                <w:sz w:val="21"/>
              </w:rPr>
              <w:lastRenderedPageBreak/>
              <w:t>全文初稿</w:t>
            </w:r>
          </w:p>
        </w:tc>
        <w:tc>
          <w:tcPr>
            <w:tcW w:w="3969" w:type="dxa"/>
            <w:vAlign w:val="center"/>
          </w:tcPr>
          <w:p w14:paraId="53A5EAE1" w14:textId="77777777" w:rsidR="00DB6CA4" w:rsidRDefault="00000000">
            <w:pPr>
              <w:spacing w:line="288" w:lineRule="auto"/>
              <w:rPr>
                <w:rFonts w:hint="eastAsia"/>
                <w:lang w:eastAsia="zh-CN"/>
              </w:rPr>
            </w:pPr>
            <w:r>
              <w:rPr>
                <w:sz w:val="21"/>
                <w:lang w:eastAsia="zh-CN"/>
              </w:rPr>
              <w:t>统一术语、公式编号、图表编号和参考</w:t>
            </w:r>
            <w:r>
              <w:rPr>
                <w:sz w:val="21"/>
                <w:lang w:eastAsia="zh-CN"/>
              </w:rPr>
              <w:lastRenderedPageBreak/>
              <w:t>文献</w:t>
            </w:r>
          </w:p>
        </w:tc>
      </w:tr>
      <w:tr w:rsidR="00DB6CA4" w14:paraId="15084653" w14:textId="77777777">
        <w:trPr>
          <w:jc w:val="center"/>
        </w:trPr>
        <w:tc>
          <w:tcPr>
            <w:tcW w:w="1928" w:type="dxa"/>
            <w:vAlign w:val="center"/>
          </w:tcPr>
          <w:p w14:paraId="25BFC4C2" w14:textId="77777777" w:rsidR="00DB6CA4" w:rsidRDefault="00000000">
            <w:pPr>
              <w:spacing w:line="288" w:lineRule="auto"/>
              <w:rPr>
                <w:rFonts w:hint="eastAsia"/>
              </w:rPr>
            </w:pPr>
            <w:r>
              <w:rPr>
                <w:sz w:val="21"/>
              </w:rPr>
              <w:lastRenderedPageBreak/>
              <w:t>6月1日—6月16日</w:t>
            </w:r>
          </w:p>
        </w:tc>
        <w:tc>
          <w:tcPr>
            <w:tcW w:w="2608" w:type="dxa"/>
            <w:vAlign w:val="center"/>
          </w:tcPr>
          <w:p w14:paraId="48EC10A8" w14:textId="77777777" w:rsidR="00DB6CA4" w:rsidRDefault="00000000">
            <w:pPr>
              <w:spacing w:line="288" w:lineRule="auto"/>
              <w:rPr>
                <w:rFonts w:hint="eastAsia"/>
                <w:lang w:eastAsia="zh-CN"/>
              </w:rPr>
            </w:pPr>
            <w:r>
              <w:rPr>
                <w:sz w:val="21"/>
                <w:lang w:eastAsia="zh-CN"/>
              </w:rPr>
              <w:t>修改、查重前自检和答辩准备</w:t>
            </w:r>
          </w:p>
        </w:tc>
        <w:tc>
          <w:tcPr>
            <w:tcW w:w="3969" w:type="dxa"/>
            <w:vAlign w:val="center"/>
          </w:tcPr>
          <w:p w14:paraId="2347D021" w14:textId="77777777" w:rsidR="00DB6CA4" w:rsidRDefault="00000000">
            <w:pPr>
              <w:spacing w:line="288" w:lineRule="auto"/>
              <w:rPr>
                <w:rFonts w:hint="eastAsia"/>
                <w:lang w:eastAsia="zh-CN"/>
              </w:rPr>
            </w:pPr>
            <w:r>
              <w:rPr>
                <w:sz w:val="21"/>
                <w:lang w:eastAsia="zh-CN"/>
              </w:rPr>
              <w:t>根据导师意见压实模型假设、结果解释和结论边界</w:t>
            </w:r>
          </w:p>
        </w:tc>
      </w:tr>
    </w:tbl>
    <w:p w14:paraId="797EAACD" w14:textId="77777777" w:rsidR="00DB6CA4" w:rsidRDefault="00DB6CA4">
      <w:pPr>
        <w:rPr>
          <w:rFonts w:hint="eastAsia"/>
          <w:lang w:eastAsia="zh-CN"/>
        </w:rPr>
      </w:pPr>
    </w:p>
    <w:p w14:paraId="7A6859EA" w14:textId="77777777" w:rsidR="00DB6CA4" w:rsidRDefault="00DB6CA4">
      <w:pPr>
        <w:rPr>
          <w:rFonts w:hint="eastAsia"/>
          <w:lang w:eastAsia="zh-CN"/>
        </w:rPr>
      </w:pPr>
    </w:p>
    <w:p w14:paraId="26FC8219" w14:textId="1E445E16" w:rsidR="00DB6CA4" w:rsidRDefault="00000000">
      <w:pPr>
        <w:spacing w:before="160" w:after="80"/>
        <w:rPr>
          <w:rFonts w:hint="eastAsia"/>
          <w:lang w:eastAsia="zh-CN"/>
        </w:rPr>
      </w:pPr>
      <w:r>
        <w:rPr>
          <w:rFonts w:ascii="黑体" w:eastAsia="黑体" w:hAnsi="黑体"/>
          <w:b/>
          <w:sz w:val="30"/>
          <w:lang w:eastAsia="zh-CN"/>
        </w:rPr>
        <w:t>程序实现与论文章节对应关系</w:t>
      </w:r>
    </w:p>
    <w:tbl>
      <w:tblPr>
        <w:tblStyle w:val="aff1"/>
        <w:tblW w:w="0" w:type="auto"/>
        <w:jc w:val="center"/>
        <w:tblLook w:val="04A0" w:firstRow="1" w:lastRow="0" w:firstColumn="1" w:lastColumn="0" w:noHBand="0" w:noVBand="1"/>
      </w:tblPr>
      <w:tblGrid>
        <w:gridCol w:w="1587"/>
        <w:gridCol w:w="3515"/>
        <w:gridCol w:w="3515"/>
      </w:tblGrid>
      <w:tr w:rsidR="00DB6CA4" w14:paraId="1B7BBAF8" w14:textId="77777777">
        <w:trPr>
          <w:jc w:val="center"/>
        </w:trPr>
        <w:tc>
          <w:tcPr>
            <w:tcW w:w="1587" w:type="dxa"/>
            <w:shd w:val="clear" w:color="auto" w:fill="D9EAF7"/>
            <w:vAlign w:val="center"/>
          </w:tcPr>
          <w:p w14:paraId="4017C177" w14:textId="77777777" w:rsidR="00DB6CA4" w:rsidRDefault="00000000">
            <w:pPr>
              <w:spacing w:line="288" w:lineRule="auto"/>
              <w:rPr>
                <w:rFonts w:hint="eastAsia"/>
              </w:rPr>
            </w:pPr>
            <w:r>
              <w:rPr>
                <w:b/>
                <w:sz w:val="21"/>
              </w:rPr>
              <w:t>论文章节</w:t>
            </w:r>
          </w:p>
        </w:tc>
        <w:tc>
          <w:tcPr>
            <w:tcW w:w="3515" w:type="dxa"/>
            <w:shd w:val="clear" w:color="auto" w:fill="D9EAF7"/>
            <w:vAlign w:val="center"/>
          </w:tcPr>
          <w:p w14:paraId="6A65B789" w14:textId="77777777" w:rsidR="00DB6CA4" w:rsidRDefault="00000000">
            <w:pPr>
              <w:spacing w:line="288" w:lineRule="auto"/>
              <w:rPr>
                <w:rFonts w:hint="eastAsia"/>
              </w:rPr>
            </w:pPr>
            <w:r>
              <w:rPr>
                <w:b/>
                <w:sz w:val="21"/>
              </w:rPr>
              <w:t>应写清的问题</w:t>
            </w:r>
          </w:p>
        </w:tc>
        <w:tc>
          <w:tcPr>
            <w:tcW w:w="3515" w:type="dxa"/>
            <w:shd w:val="clear" w:color="auto" w:fill="D9EAF7"/>
            <w:vAlign w:val="center"/>
          </w:tcPr>
          <w:p w14:paraId="5B3F03A5" w14:textId="77777777" w:rsidR="00DB6CA4" w:rsidRDefault="00000000">
            <w:pPr>
              <w:spacing w:line="288" w:lineRule="auto"/>
              <w:rPr>
                <w:rFonts w:hint="eastAsia"/>
              </w:rPr>
            </w:pPr>
            <w:r>
              <w:rPr>
                <w:b/>
                <w:sz w:val="21"/>
              </w:rPr>
              <w:t>当前程序证据</w:t>
            </w:r>
          </w:p>
        </w:tc>
      </w:tr>
      <w:tr w:rsidR="00DB6CA4" w14:paraId="66B9CB8D" w14:textId="77777777">
        <w:trPr>
          <w:jc w:val="center"/>
        </w:trPr>
        <w:tc>
          <w:tcPr>
            <w:tcW w:w="1587" w:type="dxa"/>
            <w:vAlign w:val="center"/>
          </w:tcPr>
          <w:p w14:paraId="74C07064" w14:textId="77777777" w:rsidR="00DB6CA4" w:rsidRDefault="00000000">
            <w:pPr>
              <w:spacing w:line="288" w:lineRule="auto"/>
              <w:rPr>
                <w:rFonts w:hint="eastAsia"/>
              </w:rPr>
            </w:pPr>
            <w:r>
              <w:rPr>
                <w:sz w:val="21"/>
              </w:rPr>
              <w:t>第一章</w:t>
            </w:r>
          </w:p>
        </w:tc>
        <w:tc>
          <w:tcPr>
            <w:tcW w:w="3515" w:type="dxa"/>
            <w:vAlign w:val="center"/>
          </w:tcPr>
          <w:p w14:paraId="15A4A44B" w14:textId="77777777" w:rsidR="00DB6CA4" w:rsidRDefault="00000000">
            <w:pPr>
              <w:spacing w:line="288" w:lineRule="auto"/>
              <w:rPr>
                <w:rFonts w:hint="eastAsia"/>
                <w:lang w:eastAsia="zh-CN"/>
              </w:rPr>
            </w:pPr>
            <w:r>
              <w:rPr>
                <w:sz w:val="21"/>
                <w:lang w:eastAsia="zh-CN"/>
              </w:rPr>
              <w:t>研究背景、文献基础、研究问题和创新点</w:t>
            </w:r>
          </w:p>
        </w:tc>
        <w:tc>
          <w:tcPr>
            <w:tcW w:w="3515" w:type="dxa"/>
            <w:vAlign w:val="center"/>
          </w:tcPr>
          <w:p w14:paraId="683F7D60" w14:textId="77777777" w:rsidR="00DB6CA4" w:rsidRDefault="00000000">
            <w:pPr>
              <w:spacing w:line="288" w:lineRule="auto"/>
              <w:rPr>
                <w:rFonts w:hint="eastAsia"/>
                <w:lang w:eastAsia="zh-CN"/>
              </w:rPr>
            </w:pPr>
            <w:r>
              <w:rPr>
                <w:sz w:val="21"/>
                <w:lang w:eastAsia="zh-CN"/>
              </w:rPr>
              <w:t>开题报告完成版和53篇参考文献已经形成基础</w:t>
            </w:r>
          </w:p>
        </w:tc>
      </w:tr>
      <w:tr w:rsidR="00DB6CA4" w14:paraId="7D3A1EE7" w14:textId="77777777">
        <w:trPr>
          <w:jc w:val="center"/>
        </w:trPr>
        <w:tc>
          <w:tcPr>
            <w:tcW w:w="1587" w:type="dxa"/>
            <w:vAlign w:val="center"/>
          </w:tcPr>
          <w:p w14:paraId="00C2CDD9" w14:textId="77777777" w:rsidR="00DB6CA4" w:rsidRDefault="00000000">
            <w:pPr>
              <w:spacing w:line="288" w:lineRule="auto"/>
              <w:rPr>
                <w:rFonts w:hint="eastAsia"/>
              </w:rPr>
            </w:pPr>
            <w:r>
              <w:rPr>
                <w:sz w:val="21"/>
              </w:rPr>
              <w:t>第二章</w:t>
            </w:r>
          </w:p>
        </w:tc>
        <w:tc>
          <w:tcPr>
            <w:tcW w:w="3515" w:type="dxa"/>
            <w:vAlign w:val="center"/>
          </w:tcPr>
          <w:p w14:paraId="4C5FA758" w14:textId="77777777" w:rsidR="00DB6CA4" w:rsidRDefault="00000000">
            <w:pPr>
              <w:spacing w:line="288" w:lineRule="auto"/>
              <w:rPr>
                <w:rFonts w:hint="eastAsia"/>
                <w:lang w:eastAsia="zh-CN"/>
              </w:rPr>
            </w:pPr>
            <w:r>
              <w:rPr>
                <w:sz w:val="21"/>
                <w:lang w:eastAsia="zh-CN"/>
              </w:rPr>
              <w:t>湖南市场制度、售电公司收益链条和风险传导</w:t>
            </w:r>
          </w:p>
        </w:tc>
        <w:tc>
          <w:tcPr>
            <w:tcW w:w="3515" w:type="dxa"/>
            <w:vAlign w:val="center"/>
          </w:tcPr>
          <w:p w14:paraId="0CA3A693" w14:textId="77777777" w:rsidR="00DB6CA4" w:rsidRDefault="00000000">
            <w:pPr>
              <w:spacing w:line="288" w:lineRule="auto"/>
              <w:rPr>
                <w:rFonts w:hint="eastAsia"/>
                <w:lang w:eastAsia="zh-CN"/>
              </w:rPr>
            </w:pPr>
            <w:r>
              <w:rPr>
                <w:sz w:val="21"/>
                <w:lang w:eastAsia="zh-CN"/>
              </w:rPr>
              <w:t>政策文件清单、规则表、制度状态轨迹和市场机制分析报告可支撑</w:t>
            </w:r>
          </w:p>
        </w:tc>
      </w:tr>
      <w:tr w:rsidR="00DB6CA4" w14:paraId="779F6BDF" w14:textId="77777777">
        <w:trPr>
          <w:jc w:val="center"/>
        </w:trPr>
        <w:tc>
          <w:tcPr>
            <w:tcW w:w="1587" w:type="dxa"/>
            <w:vAlign w:val="center"/>
          </w:tcPr>
          <w:p w14:paraId="39C08B64" w14:textId="77777777" w:rsidR="00DB6CA4" w:rsidRDefault="00000000">
            <w:pPr>
              <w:spacing w:line="288" w:lineRule="auto"/>
              <w:rPr>
                <w:rFonts w:hint="eastAsia"/>
              </w:rPr>
            </w:pPr>
            <w:r>
              <w:rPr>
                <w:sz w:val="21"/>
              </w:rPr>
              <w:t>第三章</w:t>
            </w:r>
          </w:p>
        </w:tc>
        <w:tc>
          <w:tcPr>
            <w:tcW w:w="3515" w:type="dxa"/>
            <w:vAlign w:val="center"/>
          </w:tcPr>
          <w:p w14:paraId="2AB03E64" w14:textId="77777777" w:rsidR="00DB6CA4" w:rsidRDefault="00000000">
            <w:pPr>
              <w:spacing w:line="288" w:lineRule="auto"/>
              <w:rPr>
                <w:rFonts w:hint="eastAsia"/>
                <w:lang w:eastAsia="zh-CN"/>
              </w:rPr>
            </w:pPr>
            <w:r>
              <w:rPr>
                <w:sz w:val="21"/>
                <w:lang w:eastAsia="zh-CN"/>
              </w:rPr>
              <w:t>周度中长期持仓、风险敞口带宽、小时级修正和15分钟结算公式</w:t>
            </w:r>
          </w:p>
        </w:tc>
        <w:tc>
          <w:tcPr>
            <w:tcW w:w="3515" w:type="dxa"/>
            <w:vAlign w:val="center"/>
          </w:tcPr>
          <w:p w14:paraId="46564B9C" w14:textId="77777777" w:rsidR="00DB6CA4" w:rsidRDefault="00000000">
            <w:pPr>
              <w:spacing w:line="288" w:lineRule="auto"/>
              <w:rPr>
                <w:rFonts w:hint="eastAsia"/>
                <w:lang w:eastAsia="zh-CN"/>
              </w:rPr>
            </w:pPr>
            <w:r>
              <w:rPr>
                <w:sz w:val="21"/>
                <w:lang w:eastAsia="zh-CN"/>
              </w:rPr>
              <w:t>本报告已按变量、公式、经济含义和程序落地展开</w:t>
            </w:r>
          </w:p>
        </w:tc>
      </w:tr>
      <w:tr w:rsidR="00DB6CA4" w14:paraId="76F11A7D" w14:textId="77777777">
        <w:trPr>
          <w:jc w:val="center"/>
        </w:trPr>
        <w:tc>
          <w:tcPr>
            <w:tcW w:w="1587" w:type="dxa"/>
            <w:vAlign w:val="center"/>
          </w:tcPr>
          <w:p w14:paraId="39FA3FCD" w14:textId="77777777" w:rsidR="00DB6CA4" w:rsidRDefault="00000000">
            <w:pPr>
              <w:spacing w:line="288" w:lineRule="auto"/>
              <w:rPr>
                <w:rFonts w:hint="eastAsia"/>
              </w:rPr>
            </w:pPr>
            <w:r>
              <w:rPr>
                <w:sz w:val="21"/>
              </w:rPr>
              <w:t>第四章</w:t>
            </w:r>
          </w:p>
        </w:tc>
        <w:tc>
          <w:tcPr>
            <w:tcW w:w="3515" w:type="dxa"/>
            <w:vAlign w:val="center"/>
          </w:tcPr>
          <w:p w14:paraId="506E63A1" w14:textId="77777777" w:rsidR="00DB6CA4" w:rsidRDefault="00000000">
            <w:pPr>
              <w:spacing w:line="288" w:lineRule="auto"/>
              <w:rPr>
                <w:rFonts w:hint="eastAsia"/>
                <w:lang w:eastAsia="zh-CN"/>
              </w:rPr>
            </w:pPr>
            <w:r>
              <w:rPr>
                <w:sz w:val="21"/>
                <w:lang w:eastAsia="zh-CN"/>
              </w:rPr>
              <w:t>双层HPSO参数结构、粒子更新、投影和评分流程</w:t>
            </w:r>
          </w:p>
        </w:tc>
        <w:tc>
          <w:tcPr>
            <w:tcW w:w="3515" w:type="dxa"/>
            <w:vAlign w:val="center"/>
          </w:tcPr>
          <w:p w14:paraId="35F0EE42" w14:textId="77777777" w:rsidR="00DB6CA4" w:rsidRDefault="00000000">
            <w:pPr>
              <w:spacing w:line="288" w:lineRule="auto"/>
              <w:rPr>
                <w:rFonts w:hint="eastAsia"/>
                <w:lang w:eastAsia="zh-CN"/>
              </w:rPr>
            </w:pPr>
            <w:r>
              <w:rPr>
                <w:sz w:val="21"/>
                <w:lang w:eastAsia="zh-CN"/>
              </w:rPr>
              <w:t>参数布局摘要、训练摘要、模型JSON和训练轨迹可支撑</w:t>
            </w:r>
          </w:p>
        </w:tc>
      </w:tr>
      <w:tr w:rsidR="00DB6CA4" w14:paraId="015C58C3" w14:textId="77777777">
        <w:trPr>
          <w:jc w:val="center"/>
        </w:trPr>
        <w:tc>
          <w:tcPr>
            <w:tcW w:w="1587" w:type="dxa"/>
            <w:vAlign w:val="center"/>
          </w:tcPr>
          <w:p w14:paraId="1A921650" w14:textId="77777777" w:rsidR="00DB6CA4" w:rsidRDefault="00000000">
            <w:pPr>
              <w:spacing w:line="288" w:lineRule="auto"/>
              <w:rPr>
                <w:rFonts w:hint="eastAsia"/>
              </w:rPr>
            </w:pPr>
            <w:r>
              <w:rPr>
                <w:sz w:val="21"/>
              </w:rPr>
              <w:t>第五章</w:t>
            </w:r>
          </w:p>
        </w:tc>
        <w:tc>
          <w:tcPr>
            <w:tcW w:w="3515" w:type="dxa"/>
            <w:vAlign w:val="center"/>
          </w:tcPr>
          <w:p w14:paraId="716EB9ED" w14:textId="77777777" w:rsidR="00DB6CA4" w:rsidRDefault="00000000">
            <w:pPr>
              <w:spacing w:line="288" w:lineRule="auto"/>
              <w:rPr>
                <w:rFonts w:hint="eastAsia"/>
                <w:lang w:eastAsia="zh-CN"/>
              </w:rPr>
            </w:pPr>
            <w:r>
              <w:rPr>
                <w:sz w:val="21"/>
                <w:lang w:eastAsia="zh-CN"/>
              </w:rPr>
              <w:t>验证集结果、滚动回测、基准比较、消融、稳健性与约束激活</w:t>
            </w:r>
          </w:p>
        </w:tc>
        <w:tc>
          <w:tcPr>
            <w:tcW w:w="3515" w:type="dxa"/>
            <w:vAlign w:val="center"/>
          </w:tcPr>
          <w:p w14:paraId="3FDFA226" w14:textId="77777777" w:rsidR="00DB6CA4" w:rsidRDefault="00000000">
            <w:pPr>
              <w:spacing w:line="288" w:lineRule="auto"/>
              <w:rPr>
                <w:rFonts w:hint="eastAsia"/>
              </w:rPr>
            </w:pPr>
            <w:r>
              <w:rPr>
                <w:sz w:val="21"/>
              </w:rPr>
              <w:t>验证摘要、回测指标、benchmark、ablation、robustness和constraint报告已形成</w:t>
            </w:r>
          </w:p>
        </w:tc>
      </w:tr>
      <w:tr w:rsidR="00DB6CA4" w14:paraId="766FC626" w14:textId="77777777">
        <w:trPr>
          <w:jc w:val="center"/>
        </w:trPr>
        <w:tc>
          <w:tcPr>
            <w:tcW w:w="1587" w:type="dxa"/>
            <w:vAlign w:val="center"/>
          </w:tcPr>
          <w:p w14:paraId="4EC5D2DB" w14:textId="77777777" w:rsidR="00DB6CA4" w:rsidRDefault="00000000">
            <w:pPr>
              <w:spacing w:line="288" w:lineRule="auto"/>
              <w:rPr>
                <w:rFonts w:hint="eastAsia"/>
              </w:rPr>
            </w:pPr>
            <w:r>
              <w:rPr>
                <w:sz w:val="21"/>
              </w:rPr>
              <w:t>第六章</w:t>
            </w:r>
          </w:p>
        </w:tc>
        <w:tc>
          <w:tcPr>
            <w:tcW w:w="3515" w:type="dxa"/>
            <w:vAlign w:val="center"/>
          </w:tcPr>
          <w:p w14:paraId="1637073C" w14:textId="77777777" w:rsidR="00DB6CA4" w:rsidRDefault="00000000">
            <w:pPr>
              <w:spacing w:line="288" w:lineRule="auto"/>
              <w:rPr>
                <w:rFonts w:hint="eastAsia"/>
                <w:lang w:eastAsia="zh-CN"/>
              </w:rPr>
            </w:pPr>
            <w:r>
              <w:rPr>
                <w:sz w:val="21"/>
                <w:lang w:eastAsia="zh-CN"/>
              </w:rPr>
              <w:t>结论、管理启示和研究不足</w:t>
            </w:r>
          </w:p>
        </w:tc>
        <w:tc>
          <w:tcPr>
            <w:tcW w:w="3515" w:type="dxa"/>
            <w:vAlign w:val="center"/>
          </w:tcPr>
          <w:p w14:paraId="581D4869" w14:textId="77777777" w:rsidR="00DB6CA4" w:rsidRDefault="00000000">
            <w:pPr>
              <w:spacing w:line="288" w:lineRule="auto"/>
              <w:rPr>
                <w:rFonts w:hint="eastAsia"/>
                <w:lang w:eastAsia="zh-CN"/>
              </w:rPr>
            </w:pPr>
            <w:r>
              <w:rPr>
                <w:sz w:val="21"/>
                <w:lang w:eastAsia="zh-CN"/>
              </w:rPr>
              <w:t>需基于第五章审慎归纳，不能把静态基准优势写成模型全面胜出</w:t>
            </w:r>
          </w:p>
        </w:tc>
      </w:tr>
    </w:tbl>
    <w:p w14:paraId="2B1E26C4" w14:textId="4282E3A4" w:rsidR="00DB6CA4" w:rsidRDefault="00DB6CA4">
      <w:pPr>
        <w:spacing w:after="60" w:line="348" w:lineRule="auto"/>
        <w:ind w:firstLine="420"/>
        <w:rPr>
          <w:rFonts w:hint="eastAsia"/>
          <w:lang w:eastAsia="zh-CN"/>
        </w:rPr>
      </w:pPr>
    </w:p>
    <w:sectPr w:rsidR="00DB6CA4" w:rsidSect="00034616">
      <w:pgSz w:w="12240" w:h="15840"/>
      <w:pgMar w:top="1361"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348793">
    <w:abstractNumId w:val="8"/>
  </w:num>
  <w:num w:numId="2" w16cid:durableId="1335642359">
    <w:abstractNumId w:val="6"/>
  </w:num>
  <w:num w:numId="3" w16cid:durableId="700208583">
    <w:abstractNumId w:val="5"/>
  </w:num>
  <w:num w:numId="4" w16cid:durableId="1537161755">
    <w:abstractNumId w:val="4"/>
  </w:num>
  <w:num w:numId="5" w16cid:durableId="598416860">
    <w:abstractNumId w:val="7"/>
  </w:num>
  <w:num w:numId="6" w16cid:durableId="686831161">
    <w:abstractNumId w:val="3"/>
  </w:num>
  <w:num w:numId="7" w16cid:durableId="158665820">
    <w:abstractNumId w:val="2"/>
  </w:num>
  <w:num w:numId="8" w16cid:durableId="1358699814">
    <w:abstractNumId w:val="1"/>
  </w:num>
  <w:num w:numId="9" w16cid:durableId="7773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E39"/>
    <w:rsid w:val="0015074B"/>
    <w:rsid w:val="0029639D"/>
    <w:rsid w:val="00326F90"/>
    <w:rsid w:val="009845E0"/>
    <w:rsid w:val="00AA1D8D"/>
    <w:rsid w:val="00B47730"/>
    <w:rsid w:val="00BC038B"/>
    <w:rsid w:val="00CB0664"/>
    <w:rsid w:val="00D95A2B"/>
    <w:rsid w:val="00DB6C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BC6FA"/>
  <w14:defaultImageDpi w14:val="300"/>
  <w15:docId w15:val="{ADDDD547-622B-4F83-95AC-B3802B73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Xuanzhe Du</cp:lastModifiedBy>
  <cp:revision>4</cp:revision>
  <dcterms:created xsi:type="dcterms:W3CDTF">2013-12-23T23:15:00Z</dcterms:created>
  <dcterms:modified xsi:type="dcterms:W3CDTF">2026-05-06T15:50:00Z</dcterms:modified>
  <cp:category/>
</cp:coreProperties>
</file>