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60"/>
      </w:pPr>
      <w:r>
        <w:rPr>
          <w:rFonts w:ascii="SimSun" w:hAnsi="SimSun" w:eastAsia="宋体"/>
          <w:b w:val="0"/>
          <w:sz w:val="24"/>
        </w:rPr>
      </w:r>
      <w:r>
        <w:rPr>
          <w:rFonts w:ascii="SimSun" w:hAnsi="SimSun" w:eastAsia="宋体"/>
          <w:b/>
          <w:sz w:val="24"/>
        </w:rPr>
        <w:t xml:space="preserve">学生姓名: </w:t>
      </w:r>
      <w:r>
        <w:rPr>
          <w:rFonts w:ascii="SimSun" w:hAnsi="SimSun" w:eastAsia="宋体"/>
          <w:b w:val="0"/>
          <w:sz w:val="24"/>
        </w:rPr>
        <w:t>杜玄哲</w:t>
      </w:r>
    </w:p>
    <w:p>
      <w:pPr>
        <w:spacing w:line="360" w:lineRule="auto" w:after="60"/>
      </w:pPr>
      <w:r>
        <w:rPr>
          <w:rFonts w:ascii="SimSun" w:hAnsi="SimSun" w:eastAsia="宋体"/>
          <w:b w:val="0"/>
          <w:sz w:val="24"/>
        </w:rPr>
      </w:r>
      <w:r>
        <w:rPr>
          <w:rFonts w:ascii="SimSun" w:hAnsi="SimSun" w:eastAsia="宋体"/>
          <w:b/>
          <w:sz w:val="24"/>
        </w:rPr>
        <w:t xml:space="preserve">学生学号: </w:t>
      </w:r>
      <w:r>
        <w:rPr>
          <w:rFonts w:ascii="SimSun" w:hAnsi="SimSun" w:eastAsia="宋体"/>
          <w:b w:val="0"/>
          <w:sz w:val="24"/>
        </w:rPr>
        <w:t>202207230207</w:t>
      </w:r>
    </w:p>
    <w:p>
      <w:pPr>
        <w:spacing w:line="360" w:lineRule="auto" w:after="60"/>
      </w:pPr>
      <w:r>
        <w:rPr>
          <w:rFonts w:ascii="SimSun" w:hAnsi="SimSun" w:eastAsia="宋体"/>
          <w:b w:val="0"/>
          <w:sz w:val="24"/>
        </w:rPr>
      </w:r>
      <w:r>
        <w:rPr>
          <w:rFonts w:ascii="SimSun" w:hAnsi="SimSun" w:eastAsia="宋体"/>
          <w:b/>
          <w:sz w:val="24"/>
        </w:rPr>
        <w:t xml:space="preserve">学生所属组织: </w:t>
      </w:r>
      <w:r>
        <w:rPr>
          <w:rFonts w:ascii="SimSun" w:hAnsi="SimSun" w:eastAsia="宋体"/>
          <w:b w:val="0"/>
          <w:sz w:val="24"/>
        </w:rPr>
        <w:t>经济与管理学院~数字经济~数字经济22-2</w:t>
      </w:r>
    </w:p>
    <w:p>
      <w:pPr>
        <w:spacing w:line="360" w:lineRule="auto" w:after="60"/>
      </w:pPr>
      <w:r>
        <w:rPr>
          <w:rFonts w:ascii="SimSun" w:hAnsi="SimSun" w:eastAsia="宋体"/>
          <w:b w:val="0"/>
          <w:sz w:val="24"/>
        </w:rPr>
      </w:r>
      <w:r>
        <w:rPr>
          <w:rFonts w:ascii="SimSun" w:hAnsi="SimSun" w:eastAsia="宋体"/>
          <w:b/>
          <w:sz w:val="24"/>
        </w:rPr>
        <w:t xml:space="preserve">课题名称: </w:t>
      </w:r>
      <w:r>
        <w:rPr>
          <w:rFonts w:ascii="SimSun" w:hAnsi="SimSun" w:eastAsia="宋体"/>
          <w:b w:val="0"/>
          <w:sz w:val="24"/>
        </w:rPr>
        <w:t>湖南电力市场售电公司多时间尺度采购策略优化研究——基于双层混合粒子群搜索与政策可行域约束</w:t>
      </w:r>
    </w:p>
    <w:p>
      <w:pPr>
        <w:spacing w:line="360" w:lineRule="auto" w:after="60"/>
      </w:pPr>
      <w:r>
        <w:rPr>
          <w:rFonts w:ascii="SimSun" w:hAnsi="SimSun" w:eastAsia="宋体"/>
          <w:b w:val="0"/>
          <w:sz w:val="24"/>
        </w:rPr>
      </w:r>
      <w:r>
        <w:rPr>
          <w:rFonts w:ascii="SimSun" w:hAnsi="SimSun" w:eastAsia="宋体"/>
          <w:b/>
          <w:sz w:val="24"/>
        </w:rPr>
        <w:t xml:space="preserve">导师姓名: </w:t>
      </w:r>
      <w:r>
        <w:rPr>
          <w:rFonts w:ascii="SimSun" w:hAnsi="SimSun" w:eastAsia="宋体"/>
          <w:b w:val="0"/>
          <w:sz w:val="24"/>
        </w:rPr>
        <w:t>邓少鸿</w:t>
      </w:r>
    </w:p>
    <w:p>
      <w:pPr>
        <w:spacing w:line="360" w:lineRule="auto" w:after="100" w:before="160"/>
      </w:pPr>
      <w:r>
        <w:rPr>
          <w:rFonts w:ascii="黑体" w:hAnsi="黑体" w:eastAsia="黑体"/>
          <w:b/>
          <w:sz w:val="26"/>
        </w:rPr>
        <w:t>一、本课题设计（研究）的目的：</w:t>
      </w:r>
    </w:p>
    <w:p>
      <w:pPr>
        <w:spacing w:line="360" w:lineRule="auto" w:after="60"/>
        <w:ind w:firstLine="420"/>
      </w:pPr>
      <w:r>
        <w:rPr>
          <w:rFonts w:ascii="SimSun" w:hAnsi="SimSun" w:eastAsia="宋体"/>
          <w:b w:val="0"/>
          <w:sz w:val="24"/>
        </w:rPr>
        <w:t>党的二十大以来，全国统一电力市场体系建设持续推进，电力体制改革与能源绿色低碳转型同步深化，电力系统运行机制正由以计划调度为主逐步转向中长期、现货与辅助服务协同运行的市场化格局。湖南作为中部地区重要负荷省份，近年来在现货市场试运行、中长期交易组织、零售市场规范和新能源市场化改革等方面持续推进，市场主体面临的价格信号、结算规则和风险暴露方式均发生了明显变化。对售电公司而言，经营问题已不再是单一合同采购问题，而是中长期合约持仓、现货价格波动、用户负荷偏差和制度时点变化共同作用下的动态风险管理问题。</w:t>
      </w:r>
    </w:p>
    <w:p>
      <w:pPr>
        <w:spacing w:line="360" w:lineRule="auto" w:after="60"/>
        <w:ind w:firstLine="420"/>
      </w:pPr>
      <w:r>
        <w:rPr>
          <w:rFonts w:ascii="SimSun" w:hAnsi="SimSun" w:eastAsia="宋体"/>
          <w:b w:val="0"/>
          <w:sz w:val="24"/>
        </w:rPr>
        <w:t>中长期合约能够为售电公司提供相对稳定的成本基础，但合约持仓比例过高可能削弱其面对短期价格变化和负荷偏差时的调整能力；现货市场能够反映实时供需状况，却也可能在高波动时段放大购电成本和现金流压力。尤其在湖南现货市场按15分钟组织出清和结算、且中长期合约主要作为结算依据与风险管理工具的制度安排下，售电公司需要同时处理周度持仓、小时级修正和分时结算三类问题。若仍依赖静态比例或经验规则进行购电安排，难以充分解释合约曲线偏差、现货边际敞口和尾部风险之间的传导关系。</w:t>
      </w:r>
    </w:p>
    <w:p>
      <w:pPr>
        <w:spacing w:line="360" w:lineRule="auto" w:after="60"/>
        <w:ind w:firstLine="420"/>
      </w:pPr>
      <w:r>
        <w:rPr>
          <w:rFonts w:ascii="SimSun" w:hAnsi="SimSun" w:eastAsia="宋体"/>
          <w:b w:val="0"/>
          <w:sz w:val="24"/>
        </w:rPr>
        <w:t>本文以湖南电力市场售电公司为研究对象，研究期为2025年11月1日至2026年3月20日。该时期覆盖湖南电力现货交易规则、中长期交易规则、新能源机制电价安排和2026年度中长期价格联动机制进入样本的关键阶段，能够较集中地观察地方市场制度变化对售电公司采购策略的影响。与把政策作为一般背景不同，本文强调政策发布时间、生效时间和样本区间之间的对应关系，防止将后期规则提前用于前期市场环境，也避免把制度变化简单处理为无经济含义的虚拟变量。</w:t>
      </w:r>
    </w:p>
    <w:p>
      <w:pPr>
        <w:spacing w:line="360" w:lineRule="auto" w:after="60"/>
        <w:ind w:firstLine="420"/>
      </w:pPr>
      <w:r>
        <w:rPr>
          <w:rFonts w:ascii="SimSun" w:hAnsi="SimSun" w:eastAsia="宋体"/>
          <w:b w:val="0"/>
          <w:sz w:val="24"/>
        </w:rPr>
        <w:t>本研究的目的在于构建一套面向售电公司的多时间尺度采购策略分析框架。该框架以上层周度中长期持仓决策确定基础合约头寸和风险敞口带宽，以小时级现货边际修正处理短期价差、负荷偏差和新能源扰动，以15分钟代理结算衡量策略在成本、收益稳定性和尾部风险方面的后果。通过这一处理，本文试图把中长期合约的风险管理属性、现货市场的边际价格形成机制和售电公司的经营约束置于同一分析链条之中。</w:t>
      </w:r>
    </w:p>
    <w:p>
      <w:pPr>
        <w:spacing w:line="360" w:lineRule="auto" w:after="60"/>
        <w:ind w:firstLine="420"/>
      </w:pPr>
      <w:r>
        <w:rPr>
          <w:rFonts w:ascii="SimSun" w:hAnsi="SimSun" w:eastAsia="宋体"/>
          <w:b w:val="0"/>
          <w:sz w:val="24"/>
        </w:rPr>
        <w:t>在理论层面，本文关注的问题具有多目标、强约束和多时间尺度特征。现有研究虽然已经讨论中长期合约、现货市场、售电公司组合优化和风险度量，但对地方市场制度时点、政策可行域边界和策略回测粒度之间的衔接仍有不足。本文拟将政策规则转化为可执行约束，把周度持仓、小时级修正和15分钟结算统一到同一模型体系中，以补充现有研究中“制度描述”和“模型执行”相分离的问题。</w:t>
      </w:r>
    </w:p>
    <w:p>
      <w:pPr>
        <w:spacing w:line="360" w:lineRule="auto" w:after="60"/>
        <w:ind w:firstLine="420"/>
      </w:pPr>
      <w:r>
        <w:rPr>
          <w:rFonts w:ascii="SimSun" w:hAnsi="SimSun" w:eastAsia="宋体"/>
          <w:b w:val="0"/>
          <w:sz w:val="24"/>
        </w:rPr>
        <w:t>在方法层面，本文采用双层混合粒子群搜索对策略参数进行优化。上层搜索中长期合约持仓调整、合约曲线分解和风险预算，下层搜索现货边际修正的响应参数；两层策略共同接受结算收益、尾部风险、套保误差、交易摩擦和制度约束的评价。该方法并非追求复杂算法本身，而是服务于本文样本期较短、政策约束较强、解释要求较高的研究场景，使模型结果能够与基准策略、消融检验和稳健性检验进行比较。</w:t>
      </w:r>
    </w:p>
    <w:p>
      <w:pPr>
        <w:spacing w:line="360" w:lineRule="auto" w:after="60"/>
        <w:ind w:firstLine="420"/>
      </w:pPr>
      <w:r>
        <w:rPr>
          <w:rFonts w:ascii="SimSun" w:hAnsi="SimSun" w:eastAsia="宋体"/>
          <w:b w:val="0"/>
          <w:sz w:val="24"/>
        </w:rPr>
        <w:t>本文拟回答三个问题：第一，在中长期合约作为结算依据和风险管理工具、现货市场承担边际价格形成职能的制度环境下，售电公司应如何确定周度中长期持仓规模和风险敞口带宽；第二，在既定持仓基础上，如何根据价差、负荷预测偏差、新能源扰动和制度状态进行小时级现货边际修正；第三，将政策规则转化为可行域边界后，双层混合粒子群搜索能否在收益表现、尾部风险、套保误差和策略可执行性之间形成相对均衡的结果。</w:t>
      </w:r>
    </w:p>
    <w:p>
      <w:pPr>
        <w:spacing w:line="360" w:lineRule="auto" w:after="60"/>
        <w:ind w:firstLine="420"/>
      </w:pPr>
      <w:r>
        <w:rPr>
          <w:rFonts w:ascii="SimSun" w:hAnsi="SimSun" w:eastAsia="宋体"/>
          <w:b w:val="0"/>
          <w:sz w:val="24"/>
        </w:rPr>
        <w:t>预期研究成果包括：形成湖南电力市场售电公司多时间尺度采购策略的理论框架；构建包含制度状态、价格信号、负荷偏差和新能源扰动的变量体系；建立周度持仓、小时级修正和15分钟结算相衔接的模型；通过动态锁定、固定持仓、无现货修正和简单滚动对冲等基准策略评价模型表现；最终为售电公司在现货市场推进和新能源市场化背景下的购电组合管理提供可解释的实证依据。</w:t>
      </w:r>
    </w:p>
    <w:p>
      <w:pPr>
        <w:spacing w:line="360" w:lineRule="auto" w:after="100" w:before="160"/>
      </w:pPr>
      <w:r>
        <w:rPr>
          <w:rFonts w:ascii="黑体" w:hAnsi="黑体" w:eastAsia="黑体"/>
          <w:b/>
          <w:sz w:val="26"/>
        </w:rPr>
        <w:t>二、设计（研究）现状和发展趋势（文献综述）：</w:t>
      </w:r>
    </w:p>
    <w:p>
      <w:pPr>
        <w:spacing w:line="360" w:lineRule="auto" w:after="60"/>
        <w:ind w:firstLine="420"/>
      </w:pPr>
      <w:r>
        <w:rPr>
          <w:rFonts w:ascii="SimSun" w:hAnsi="SimSun" w:eastAsia="宋体"/>
          <w:b w:val="0"/>
          <w:sz w:val="24"/>
        </w:rPr>
        <w:t>与本文相关的研究大致可以分为五类：电力中长期与现货市场衔接机制、售电公司购售电决策与风险管理、新能源市场化及其价格影响、粒子群优化与约束处理、CVaR等尾部风险评价。总体来看，已有研究为本文提供了市场机制、模型方法和风险评价基础，但在地方市场制度嵌入、售电公司主体边界和多时间尺度结算评价方面仍存在进一步展开的空间。</w:t>
      </w:r>
    </w:p>
    <w:p>
      <w:pPr>
        <w:spacing w:line="360" w:lineRule="auto" w:after="60"/>
        <w:ind w:firstLine="420"/>
      </w:pPr>
      <w:r>
        <w:rPr>
          <w:rFonts w:ascii="SimSun" w:hAnsi="SimSun" w:eastAsia="宋体"/>
          <w:b w:val="0"/>
          <w:sz w:val="24"/>
        </w:rPr>
        <w:t>第一类文献关注电力中长期交易、差价合约和现货市场衔接。相关研究表明，中长期合约不仅具有锁定价格和稳定预期的功能，也承担分散现货市场价格波动风险的作用[1-2]。国内外现货市场建设研究则指出，现货市场通过分时价格信号反映系统供需和边际成本，市场主体需要在中长期合同和现货交易之间形成清晰的风险配置关系[3-10]。这些研究为本文理解湖南市场中“中长期合约作为结算依据、现货市场全电量竞价”的制度安排提供了基础。</w:t>
      </w:r>
    </w:p>
    <w:p>
      <w:pPr>
        <w:spacing w:line="360" w:lineRule="auto" w:after="60"/>
        <w:ind w:firstLine="420"/>
      </w:pPr>
      <w:r>
        <w:rPr>
          <w:rFonts w:ascii="SimSun" w:hAnsi="SimSun" w:eastAsia="宋体"/>
          <w:b w:val="0"/>
          <w:sz w:val="24"/>
        </w:rPr>
        <w:t>第二类文献聚焦售电公司购售电决策与风险管理。售电公司处于批发市场和零售用户之间，其经营结果既取决于购电成本，也取决于用户负荷曲线、零售合同约束和偏差结算规则[11-16]。国外关于电力零售商合同组合和套期保值的研究强调，应在合约、现货和风险偏好之间进行组合优化[17-21]；中国电力市场语境下的研究进一步将售电公司组合交易、风险评估和零售套餐纳入分析[22-23]。这些成果说明，售电公司采购策略不能只看单一价格指标，而应从组合收益和风险暴露角度进行评价。</w:t>
      </w:r>
    </w:p>
    <w:p>
      <w:pPr>
        <w:spacing w:line="360" w:lineRule="auto" w:after="60"/>
        <w:ind w:firstLine="420"/>
      </w:pPr>
      <w:r>
        <w:rPr>
          <w:rFonts w:ascii="SimSun" w:hAnsi="SimSun" w:eastAsia="宋体"/>
          <w:b w:val="0"/>
          <w:sz w:val="24"/>
        </w:rPr>
        <w:t>第三类文献讨论新能源市场化、绿电绿证和机制电价变化对电力市场运行的影响。高比例新能源接入会通过出力不确定性、系统调节需求和价格波动改变市场主体的风险环境[24-31]。对售电公司而言，新能源扰动并不一定表现为其直接参与新能源投资，而更多体现为现货价格波动、合约价格联动和偏差结算风险的变化。因此，本文将新能源相关因素作为影响现货边际风险和制度状态的重要来源，而不将其扩展为独立发电侧优化问题。</w:t>
      </w:r>
    </w:p>
    <w:p>
      <w:pPr>
        <w:spacing w:line="360" w:lineRule="auto" w:after="60"/>
        <w:ind w:firstLine="420"/>
      </w:pPr>
      <w:r>
        <w:rPr>
          <w:rFonts w:ascii="SimSun" w:hAnsi="SimSun" w:eastAsia="宋体"/>
          <w:b w:val="0"/>
          <w:sz w:val="24"/>
        </w:rPr>
        <w:t>第四类文献涉及粒子群优化、混合智能优化和约束处理。经典粒子群算法通过个体经验和群体经验协同更新，在连续参数搜索中具有结构简单、可解释性较强和工程适应性较好的特点[32-37]。与此同时，约束处理研究表明，对于具有复杂边界的优化问题，仅依赖事后裁剪往往难以解释策略是否真正可行，罚函数、可行域判定和投影机制对结果质量具有重要影响[38-39]。本文采用双层混合粒子群搜索，正是基于售电公司采购策略存在高维连续参数、制度边界和多目标评价的特征。</w:t>
      </w:r>
    </w:p>
    <w:p>
      <w:pPr>
        <w:spacing w:line="360" w:lineRule="auto" w:after="60"/>
        <w:ind w:firstLine="420"/>
      </w:pPr>
      <w:r>
        <w:rPr>
          <w:rFonts w:ascii="SimSun" w:hAnsi="SimSun" w:eastAsia="宋体"/>
          <w:b w:val="0"/>
          <w:sz w:val="24"/>
        </w:rPr>
        <w:t>第五类文献关注风险度量和尾部风险评价。一致性风险度量和条件风险价值理论为刻画极端损失提供了重要工具[40-43]。电力市场价格具有尖峰、波动聚集和极端时段成本放大的特点，单纯使用平均收益难以反映售电公司面临的真实经营风险。本文将CVaR、收益波动、最大回撤和套保误差共同纳入评价体系，以避免将策略优劣简单等同于某一阶段的利润大小。</w:t>
      </w:r>
    </w:p>
    <w:p>
      <w:pPr>
        <w:spacing w:line="360" w:lineRule="auto" w:after="60"/>
        <w:ind w:firstLine="420"/>
      </w:pPr>
      <w:r>
        <w:rPr>
          <w:rFonts w:ascii="SimSun" w:hAnsi="SimSun" w:eastAsia="宋体"/>
          <w:b w:val="0"/>
          <w:sz w:val="24"/>
        </w:rPr>
        <w:t>此外，深度强化学习和预测模型在能源系统中具有较多应用[44-53]。这些研究说明，电力市场和能源管理问题可以被抽象为动态决策过程，也为状态、动作和奖励函数设计提供了有益参考。但本文并不将复杂强化学习作为当前正式方法主线。原因在于，本文样本期相对有限，政策切换较为集中，且研究重点在于制度一致性、约束可解释性和回测证据链。与端到端学习相比，双层混合粒子群搜索更适合在当前条件下实现可审计、可复现的策略比较。</w:t>
      </w:r>
    </w:p>
    <w:p>
      <w:pPr>
        <w:spacing w:line="360" w:lineRule="auto" w:after="60"/>
        <w:ind w:firstLine="420"/>
      </w:pPr>
      <w:r>
        <w:rPr>
          <w:rFonts w:ascii="SimSun" w:hAnsi="SimSun" w:eastAsia="宋体"/>
          <w:b w:val="0"/>
          <w:sz w:val="24"/>
        </w:rPr>
        <w:t>综上，现有研究已经为本文提供了较为充分的理论基础，但仍有三点不足需要回应：一是地方电力市场政策的发布时间、生效时间和结算口径尚未充分进入模型约束；二是售电公司中长期持仓与现货边际修正之间的多时间尺度联系仍需统一表达；三是部分研究更强调算法结果，而对强基准比较、尾部风险和制度可执行性解释不足。本文拟在这些方面作进一步研究。</w:t>
      </w:r>
    </w:p>
    <w:p>
      <w:pPr>
        <w:spacing w:line="360" w:lineRule="auto" w:after="100" w:before="160"/>
      </w:pPr>
      <w:r>
        <w:rPr>
          <w:rFonts w:ascii="黑体" w:hAnsi="黑体" w:eastAsia="黑体"/>
          <w:b/>
          <w:sz w:val="26"/>
        </w:rPr>
        <w:t>三、设计（研究）的重点与难点，拟采用的途径（研究手段）：</w:t>
      </w:r>
    </w:p>
    <w:p>
      <w:pPr>
        <w:spacing w:line="360" w:lineRule="auto" w:after="60"/>
        <w:ind w:firstLine="420"/>
      </w:pPr>
      <w:r>
        <w:rPr>
          <w:rFonts w:ascii="SimSun" w:hAnsi="SimSun" w:eastAsia="宋体"/>
          <w:b w:val="0"/>
          <w:sz w:val="24"/>
        </w:rPr>
        <w:t>本文的研究重点首先是界定售电公司的市场边界和决策边界。研究对象限定为湖南电力市场中的售电公司，市场范围包括中长期电能量交易、日前现货、日内或实时现货代理结算以及零售侧收入边界。辅助服务、需求响应、虚拟投标和发电侧优化仅作为制度环境或状态背景，不作为独立收益来源纳入主策略。这样的边界处理有助于保持论文问题与售电公司经营实践一致。</w:t>
      </w:r>
    </w:p>
    <w:p>
      <w:pPr>
        <w:spacing w:line="360" w:lineRule="auto" w:after="60"/>
        <w:ind w:firstLine="420"/>
      </w:pPr>
      <w:r>
        <w:rPr>
          <w:rFonts w:ascii="SimSun" w:hAnsi="SimSun" w:eastAsia="宋体"/>
          <w:b w:val="0"/>
          <w:sz w:val="24"/>
        </w:rPr>
        <w:t>第二个重点是建立周度、小时级和15分钟三层衔接的模型。周度层面确定中长期基础持仓、持仓调整量和风险敞口带宽；小时级层面根据价差、负荷偏差、新能源扰动和时段状态生成现货边际修正；15分钟层面则用于结算成本、收益、尾部风险和套保误差评价。通过这种分层设计，本文既保留中长期合约的稳定作用，又能够刻画现货价格波动对边际购电成本的影响。</w:t>
      </w:r>
    </w:p>
    <w:p>
      <w:pPr>
        <w:spacing w:line="360" w:lineRule="auto" w:after="60"/>
        <w:ind w:firstLine="420"/>
      </w:pPr>
      <w:r>
        <w:rPr>
          <w:rFonts w:ascii="SimSun" w:hAnsi="SimSun" w:eastAsia="宋体"/>
          <w:b w:val="0"/>
          <w:sz w:val="24"/>
        </w:rPr>
        <w:t>第三个重点是政策可行域的构建。本文将湖南电力市场相关制度规则转化为模型中的时间标签、状态变量和动作边界。中长期合约仅作为结算依据、现货市场按15分钟出清、新能源机制电价执行时点、2026年度中长期价格联动安排等规则，都需要在模型中体现其生效时间和适用范围。政策约束并非附加说明，而是策略生成、动作修正和结果解释共同遵循的边界。</w:t>
      </w:r>
    </w:p>
    <w:p>
      <w:pPr>
        <w:spacing w:line="360" w:lineRule="auto" w:after="60"/>
        <w:ind w:firstLine="420"/>
      </w:pPr>
      <w:r>
        <w:rPr>
          <w:rFonts w:ascii="SimSun" w:hAnsi="SimSun" w:eastAsia="宋体"/>
          <w:b w:val="0"/>
          <w:sz w:val="24"/>
        </w:rPr>
        <w:t>第四个重点是双层混合粒子群搜索的求解。上层粒子刻画中长期持仓和风险预算，下层粒子刻画现货边际修正响应；每一组策略参数都经过可行域约束和结算评价后形成目标函数值。相较于只优化单一合约比例，该方法能够同时处理持仓规模、合约曲线、现货修正和风险惩罚之间的关系，更适合本文的多目标约束优化问题。</w:t>
      </w:r>
    </w:p>
    <w:p>
      <w:pPr>
        <w:spacing w:line="360" w:lineRule="auto" w:after="60"/>
        <w:ind w:firstLine="420"/>
      </w:pPr>
      <w:r>
        <w:rPr>
          <w:rFonts w:ascii="SimSun" w:hAnsi="SimSun" w:eastAsia="宋体"/>
          <w:b w:val="0"/>
          <w:sz w:val="24"/>
        </w:rPr>
        <w:t>第五个重点是实证评价与基准比较。本文将保留动态锁定基准、固定持仓基准、无现货修正基准和简单滚动对冲基准，分别考察主策略在收益、风险和执行约束方面的表现。若某一静态基准在局部样本期内取得更高利润，本文将结合市场波动、交易摩擦和风险指标进行解释，而不将模型效果表述为在所有指标上绝对占优。这样的处理更符合实证研究的审慎原则。</w:t>
      </w:r>
    </w:p>
    <w:p>
      <w:pPr>
        <w:spacing w:line="360" w:lineRule="auto" w:after="60"/>
        <w:ind w:firstLine="420"/>
      </w:pPr>
      <w:r>
        <w:rPr>
          <w:rFonts w:ascii="SimSun" w:hAnsi="SimSun" w:eastAsia="宋体"/>
          <w:b w:val="0"/>
          <w:sz w:val="24"/>
        </w:rPr>
        <w:t>研究难点主要体现在以下几个方面。第一，制度时点处理难度较高。政策的发布、公开和执行时间并不总是一致，若处理不当，容易形成未来信息泄漏或制度错配。第二，中长期合约的性质需要严格界定。本文必须坚持其结算和风险管理属性，不能将其误写为物理调度计划。第三，不同时间尺度的数据需要衔接。周度决策、小时级修正和15分钟结算之间存在粒度差异，聚合和还原过程必须保持口径一致。第四，样本期有限而约束较多，模型既要避免过度复杂，又要能够表达主要风险机制。第五，收益、尾部风险、交易摩擦和政策可行性之间存在权衡，不能用单一利润指标判断策略优劣。</w:t>
      </w:r>
    </w:p>
    <w:p>
      <w:pPr>
        <w:spacing w:line="360" w:lineRule="auto" w:after="60"/>
        <w:ind w:firstLine="420"/>
      </w:pPr>
      <w:r>
        <w:rPr>
          <w:rFonts w:ascii="SimSun" w:hAnsi="SimSun" w:eastAsia="宋体"/>
          <w:b w:val="0"/>
          <w:sz w:val="24"/>
        </w:rPr>
        <w:t>针对上述难点，本文拟采用“制度识别—风险机理—模型构建—策略求解—回测评价”的研究路线。首先，梳理湖南中长期交易、现货交易、零售市场和新能源机制电价等制度安排，明确其进入模型的时间和方式；其次，分析售电公司在合约持仓、现货补购、用户负荷偏差和新能源扰动下的风险传导机制；再次，构建周度持仓、小时级修正和15分钟结算模型；最后，通过双层混合粒子群搜索和多类基准策略开展实证比较。</w:t>
      </w:r>
    </w:p>
    <w:p>
      <w:pPr>
        <w:spacing w:line="360" w:lineRule="auto" w:after="60"/>
        <w:ind w:firstLine="420"/>
      </w:pPr>
      <w:r>
        <w:rPr>
          <w:rFonts w:ascii="SimSun" w:hAnsi="SimSun" w:eastAsia="宋体"/>
          <w:b w:val="0"/>
          <w:sz w:val="24"/>
        </w:rPr>
        <w:t>模型评价将综合考虑累计收益、平均收益、采购成本、收益波动、最大回撤、CVaR、套保误差、负收益窗口数和约束触发情况。除主策略外，本文还将通过消融实验和稳健性检验观察政策投影、状态变量、持仓比例和预测误差变化对结果的影响。通过这些指标，论文能够从收益、风险和可执行性三个角度解释模型，而不是停留在算法运行结果的简单展示。</w:t>
      </w:r>
    </w:p>
    <w:p>
      <w:pPr>
        <w:spacing w:line="360" w:lineRule="auto" w:after="60"/>
        <w:ind w:firstLine="420"/>
      </w:pPr>
      <w:r>
        <w:rPr>
          <w:rFonts w:ascii="SimSun" w:hAnsi="SimSun" w:eastAsia="宋体"/>
          <w:b w:val="0"/>
          <w:sz w:val="24"/>
        </w:rPr>
        <w:t>在论文结构上，第一章阐述研究背景、文献综述和研究问题；第二章分析湖南电力市场制度基础与售电公司风险机理；第三章构建多时间尺度采购策略模型；第四章介绍双层混合粒子群搜索及约束处理方法；第五章开展实证回测、基准比较和稳健性分析；第六章总结研究结论和管理启示。全文将以制度一致性和策略可解释性为主线，使开题报告内容能够自然衔接后续正式论文写作。</w:t>
      </w:r>
    </w:p>
    <w:p>
      <w:pPr>
        <w:spacing w:line="360" w:lineRule="auto" w:after="100" w:before="160"/>
      </w:pPr>
      <w:r>
        <w:rPr>
          <w:rFonts w:ascii="黑体" w:hAnsi="黑体" w:eastAsia="黑体"/>
          <w:b/>
          <w:sz w:val="26"/>
        </w:rPr>
        <w:t>设计（研究）进度计划：</w:t>
      </w:r>
    </w:p>
    <w:p>
      <w:pPr>
        <w:spacing w:line="360" w:lineRule="auto" w:after="60"/>
        <w:ind w:firstLine="420"/>
      </w:pPr>
      <w:r>
        <w:rPr>
          <w:rFonts w:ascii="SimSun" w:hAnsi="SimSun" w:eastAsia="宋体"/>
          <w:sz w:val="24"/>
        </w:rPr>
        <w:t>2026年5月1日至5月5日：完成开题报告定稿、论文题目和总体框架校准。重点统一研究对象、样本期、方法主线、章节结构和参考文献口径，并将已有草稿中与当前研究一致的制度背景、风险机理和研究思路吸收到正式论文框架中。</w:t>
      </w:r>
    </w:p>
    <w:p>
      <w:pPr>
        <w:spacing w:line="360" w:lineRule="auto" w:after="60"/>
        <w:ind w:firstLine="420"/>
      </w:pPr>
      <w:r>
        <w:rPr>
          <w:rFonts w:ascii="SimSun" w:hAnsi="SimSun" w:eastAsia="宋体"/>
          <w:sz w:val="24"/>
        </w:rPr>
        <w:t>2026年5月6日至5月12日：完成第一章和第二章初稿。第一章集中写明研究背景、文献综述、研究问题和创新点；第二章集中梳理湖南电力市场制度基础、售电公司经营链条、中长期与现货衔接机制以及主要风险来源。</w:t>
      </w:r>
    </w:p>
    <w:p>
      <w:pPr>
        <w:spacing w:line="360" w:lineRule="auto" w:after="60"/>
        <w:ind w:firstLine="420"/>
      </w:pPr>
      <w:r>
        <w:rPr>
          <w:rFonts w:ascii="SimSun" w:hAnsi="SimSun" w:eastAsia="宋体"/>
          <w:sz w:val="24"/>
        </w:rPr>
        <w:t>2026年5月13日至5月19日：完成第三章和第四章初稿。重点写清周度中长期持仓模型、小时级现货边际修正模型、15分钟代理结算模型、政策可行域约束和双层混合粒子群搜索流程，并同步整理公式、变量表和技术路线图。</w:t>
      </w:r>
    </w:p>
    <w:p>
      <w:pPr>
        <w:spacing w:line="360" w:lineRule="auto" w:after="60"/>
        <w:ind w:firstLine="420"/>
      </w:pPr>
      <w:r>
        <w:rPr>
          <w:rFonts w:ascii="SimSun" w:hAnsi="SimSun" w:eastAsia="宋体"/>
          <w:sz w:val="24"/>
        </w:rPr>
        <w:t>2026年5月20日至5月26日：完成第五章实证分析初稿。集中核对收益、成本、尾部风险、基准比较、消融实验和稳健性检验结果，形成论文所需图表，并对模型在收益表现、风险控制和政策可执行性方面的效果作审慎解释。</w:t>
      </w:r>
    </w:p>
    <w:p>
      <w:pPr>
        <w:spacing w:line="360" w:lineRule="auto" w:after="60"/>
        <w:ind w:firstLine="420"/>
      </w:pPr>
      <w:r>
        <w:rPr>
          <w:rFonts w:ascii="SimSun" w:hAnsi="SimSun" w:eastAsia="宋体"/>
          <w:sz w:val="24"/>
        </w:rPr>
        <w:t>2026年5月27日至5月31日：完成论文全文初稿。重点贯通第一章至第六章的逻辑关系，补齐结论与管理启示，统一术语、图表、公式编号和参考文献格式，确保5月底前形成可提交导师审阅的完整稿。</w:t>
      </w:r>
    </w:p>
    <w:p>
      <w:pPr>
        <w:spacing w:line="360" w:lineRule="auto" w:after="60"/>
        <w:ind w:firstLine="420"/>
      </w:pPr>
      <w:r>
        <w:rPr>
          <w:rFonts w:ascii="SimSun" w:hAnsi="SimSun" w:eastAsia="宋体"/>
          <w:sz w:val="24"/>
        </w:rPr>
        <w:t>2026年6月1日至6月10日：根据导师意见完成第一轮集中修改。重点压实文献综述、模型假设、实证解释和结论边界，检查全文是否存在与当前方法主线不一致的旧表述，并完成查重前自检。</w:t>
      </w:r>
    </w:p>
    <w:p>
      <w:pPr>
        <w:spacing w:line="360" w:lineRule="auto"/>
        <w:ind w:firstLine="420"/>
      </w:pPr>
      <w:r>
        <w:rPr>
          <w:rFonts w:ascii="SimSun" w:hAnsi="SimSun" w:eastAsia="宋体"/>
          <w:sz w:val="24"/>
        </w:rPr>
        <w:t>2026年6月11日至6月16日：完成终稿整理和答辩准备。重点完成格式检查、图表清晰度检查、参考文献核对、答辩PPT和可能问题准备，形成最终提交稿。</w:t>
      </w:r>
    </w:p>
    <w:p>
      <w:pPr>
        <w:spacing w:line="360" w:lineRule="auto"/>
        <w:ind w:firstLine="420"/>
      </w:pPr>
      <w:r>
        <w:rPr>
          <w:rFonts w:ascii="SimSun" w:hAnsi="SimSun" w:eastAsia="宋体"/>
          <w:sz w:val="24"/>
        </w:rPr>
        <w:t>2026年6月17日：参加论文答辩。答辩重点围绕研究背景、模型设计、政策可行域、双层混合粒子群搜索、实证结果和研究不足展开说明。</w:t>
      </w:r>
    </w:p>
    <w:p>
      <w:pPr>
        <w:spacing w:line="360" w:lineRule="auto" w:after="100" w:before="160"/>
      </w:pPr>
      <w:r>
        <w:rPr>
          <w:rFonts w:ascii="黑体" w:hAnsi="黑体" w:eastAsia="黑体"/>
          <w:b/>
          <w:sz w:val="26"/>
        </w:rPr>
        <w:t>参考文献：</w:t>
      </w:r>
    </w:p>
    <w:p>
      <w:pPr>
        <w:spacing w:line="360" w:lineRule="auto" w:after="60"/>
        <w:ind w:left="420" w:hanging="420"/>
      </w:pPr>
      <w:r>
        <w:rPr>
          <w:rFonts w:ascii="SimSun" w:hAnsi="SimSun" w:eastAsia="宋体"/>
          <w:b w:val="0"/>
          <w:sz w:val="24"/>
        </w:rPr>
        <w:t>[1] 骆子雅，季天瑶，荆朝霞，等. 电力差价合约机制设计与应用[J/OL]. 电网技术，2019，43（8）：2743-2751. DOI:10.13335/j.1000-3673.pst.2019.0538.</w:t>
      </w:r>
    </w:p>
    <w:p>
      <w:pPr>
        <w:spacing w:line="360" w:lineRule="auto" w:after="60"/>
        <w:ind w:left="420" w:hanging="420"/>
      </w:pPr>
      <w:r>
        <w:rPr>
          <w:rFonts w:ascii="SimSun" w:hAnsi="SimSun" w:eastAsia="宋体"/>
          <w:b w:val="0"/>
          <w:sz w:val="24"/>
        </w:rPr>
        <w:t>[2] 李道强，龚建荣，李忠憓，等. 电力市场环境下的差价合约电量分解问题[J/OL]. 电力科学与技术学报，2020，35（1）：40-49. DOI:10.19781/j.issn.1673-9140.2020.01.005.</w:t>
      </w:r>
    </w:p>
    <w:p>
      <w:pPr>
        <w:spacing w:line="360" w:lineRule="auto" w:after="60"/>
        <w:ind w:left="420" w:hanging="420"/>
      </w:pPr>
      <w:r>
        <w:rPr>
          <w:rFonts w:ascii="SimSun" w:hAnsi="SimSun" w:eastAsia="宋体"/>
          <w:b w:val="0"/>
          <w:sz w:val="24"/>
        </w:rPr>
        <w:t>[3] 樊宇琦，丁涛，孙瑜歌，等. 国内外促进可再生能源消纳的电力现货市场发展综述与思考[J/OL]. 中国电机工程学报，2021，41（5）：1729-1752. DOI:10.13334/j.0258-8013.pcsee.201408.</w:t>
      </w:r>
    </w:p>
    <w:p>
      <w:pPr>
        <w:spacing w:line="360" w:lineRule="auto" w:after="60"/>
        <w:ind w:left="420" w:hanging="420"/>
      </w:pPr>
      <w:r>
        <w:rPr>
          <w:rFonts w:ascii="SimSun" w:hAnsi="SimSun" w:eastAsia="宋体"/>
          <w:b w:val="0"/>
          <w:sz w:val="24"/>
        </w:rPr>
        <w:t>[4] 周明，严宇，丁琪，等. 国外典型电力市场交易结算机制及对中国的启示[J]. 电力系统自动化，2017，41（20）：1-8.</w:t>
      </w:r>
    </w:p>
    <w:p>
      <w:pPr>
        <w:spacing w:line="360" w:lineRule="auto" w:after="60"/>
        <w:ind w:left="420" w:hanging="420"/>
      </w:pPr>
      <w:r>
        <w:rPr>
          <w:rFonts w:ascii="SimSun" w:hAnsi="SimSun" w:eastAsia="宋体"/>
          <w:b w:val="0"/>
          <w:sz w:val="24"/>
        </w:rPr>
        <w:t>[5] 邹鹏，陈启鑫，夏清，等. 国外电力现货市场建设的逻辑分析及对中国的启示与建议[J]. 电力系统自动化，2014，38（13）：18-27.</w:t>
      </w:r>
    </w:p>
    <w:p>
      <w:pPr>
        <w:spacing w:line="360" w:lineRule="auto" w:after="60"/>
        <w:ind w:left="420" w:hanging="420"/>
      </w:pPr>
      <w:r>
        <w:rPr>
          <w:rFonts w:ascii="SimSun" w:hAnsi="SimSun" w:eastAsia="宋体"/>
          <w:b w:val="0"/>
          <w:sz w:val="24"/>
        </w:rPr>
        <w:t>[6] 陈国平，梁志峰，董昱. 基于能源转型的中国特色电力市场建设的分析与思考[J/OL]. 中国电机工程学报，2020，40（2）：369-379. DOI:10.13334/j.0258-8013.pcsee.191382.</w:t>
      </w:r>
    </w:p>
    <w:p>
      <w:pPr>
        <w:spacing w:line="360" w:lineRule="auto" w:after="60"/>
        <w:ind w:left="420" w:hanging="420"/>
      </w:pPr>
      <w:r>
        <w:rPr>
          <w:rFonts w:ascii="SimSun" w:hAnsi="SimSun" w:eastAsia="宋体"/>
          <w:b w:val="0"/>
          <w:sz w:val="24"/>
        </w:rPr>
        <w:t>[7] 马辉，陈雨果，陈晔，等. 南方(以广东起步)电力现货市场机制设计[J/OL]. 南方电网技术，2018，12（12）：42-48. DOI:10.13648/j.cnki.issn1674-0629.2018.12.007.</w:t>
      </w:r>
    </w:p>
    <w:p>
      <w:pPr>
        <w:spacing w:line="360" w:lineRule="auto" w:after="60"/>
        <w:ind w:left="420" w:hanging="420"/>
      </w:pPr>
      <w:r>
        <w:rPr>
          <w:rFonts w:ascii="SimSun" w:hAnsi="SimSun" w:eastAsia="宋体"/>
          <w:b w:val="0"/>
          <w:sz w:val="24"/>
        </w:rPr>
        <w:t>[8] 王小昂，邹鹏，任远，等. 山西电力现货市场中长期与现货衔接问题及对策[J/OL]. 电网技术，2022，46（1）：20-27. DOI:10.13335/j.1000-3673.pst.2021.0963.</w:t>
      </w:r>
    </w:p>
    <w:p>
      <w:pPr>
        <w:spacing w:line="360" w:lineRule="auto" w:after="60"/>
        <w:ind w:left="420" w:hanging="420"/>
      </w:pPr>
      <w:r>
        <w:rPr>
          <w:rFonts w:ascii="SimSun" w:hAnsi="SimSun" w:eastAsia="宋体"/>
          <w:b w:val="0"/>
          <w:sz w:val="24"/>
        </w:rPr>
        <w:t>[9] 宋永华，包铭磊，丁一，等. 新电改下我国电力现货市场建设关键要点综述及相关建议[J/OL]. 中国电机工程学报，2020，40（10）：3172-3187. DOI:10.13334/j.0258-8013.pcsee.191251.</w:t>
      </w:r>
    </w:p>
    <w:p>
      <w:pPr>
        <w:spacing w:line="360" w:lineRule="auto" w:after="60"/>
        <w:ind w:left="420" w:hanging="420"/>
      </w:pPr>
      <w:r>
        <w:rPr>
          <w:rFonts w:ascii="SimSun" w:hAnsi="SimSun" w:eastAsia="宋体"/>
          <w:b w:val="0"/>
          <w:sz w:val="24"/>
        </w:rPr>
        <w:t>[10] 史连军，周琳，庞博，等. 中国促进清洁能源消纳的市场机制设计思路[J]. 电力系统自动化，2017，41（24）：83-89.</w:t>
      </w:r>
    </w:p>
    <w:p>
      <w:pPr>
        <w:spacing w:line="360" w:lineRule="auto" w:after="60"/>
        <w:ind w:left="420" w:hanging="420"/>
      </w:pPr>
      <w:r>
        <w:rPr>
          <w:rFonts w:ascii="SimSun" w:hAnsi="SimSun" w:eastAsia="宋体"/>
          <w:b w:val="0"/>
          <w:sz w:val="24"/>
        </w:rPr>
        <w:t>[11] 葛睿，陈龙翔，王轶禹，等. 中国电力市场建设路径优选及设计[J]. 电力系统自动化，2017，41（24）：10-15.</w:t>
      </w:r>
    </w:p>
    <w:p>
      <w:pPr>
        <w:spacing w:line="360" w:lineRule="auto" w:after="60"/>
        <w:ind w:left="420" w:hanging="420"/>
      </w:pPr>
      <w:r>
        <w:rPr>
          <w:rFonts w:ascii="SimSun" w:hAnsi="SimSun" w:eastAsia="宋体"/>
          <w:b w:val="0"/>
          <w:sz w:val="24"/>
        </w:rPr>
        <w:t>[12] 张显，史连军. 中国电力市场未来研究方向及关键技术[J]. 电力系统自动化，2020，44（16）：1-11.</w:t>
      </w:r>
    </w:p>
    <w:p>
      <w:pPr>
        <w:spacing w:line="360" w:lineRule="auto" w:after="60"/>
        <w:ind w:left="420" w:hanging="420"/>
      </w:pPr>
      <w:r>
        <w:rPr>
          <w:rFonts w:ascii="SimSun" w:hAnsi="SimSun" w:eastAsia="宋体"/>
          <w:b w:val="0"/>
          <w:sz w:val="24"/>
        </w:rPr>
        <w:t>[13] 肖云鹏，关玉衡，张兰，等. 集中式电力现货市场风险规避机制机理分析及建设路径[J/OL]. 电网技术，2021，45（10）：3981-3991. DOI:10.13335/j.1000-3673.pst.2020.1975.</w:t>
      </w:r>
    </w:p>
    <w:p>
      <w:pPr>
        <w:spacing w:line="360" w:lineRule="auto" w:after="60"/>
        <w:ind w:left="420" w:hanging="420"/>
      </w:pPr>
      <w:r>
        <w:rPr>
          <w:rFonts w:ascii="SimSun" w:hAnsi="SimSun" w:eastAsia="宋体"/>
          <w:b w:val="0"/>
          <w:sz w:val="24"/>
        </w:rPr>
        <w:t>[14] 杨甲甲，赵俊华，文福拴，等. 电力零售核心业务架构与购售电决策[J]. 电力系统自动化，2017，41（14）：10-18.</w:t>
      </w:r>
    </w:p>
    <w:p>
      <w:pPr>
        <w:spacing w:line="360" w:lineRule="auto" w:after="60"/>
        <w:ind w:left="420" w:hanging="420"/>
      </w:pPr>
      <w:r>
        <w:rPr>
          <w:rFonts w:ascii="SimSun" w:hAnsi="SimSun" w:eastAsia="宋体"/>
          <w:b w:val="0"/>
          <w:sz w:val="24"/>
        </w:rPr>
        <w:t>[15] 杨萌，艾欣，唐亮，等. 计及风险规避的售电公司平衡市场优化交易策略研究[J/OL]. 电网技术，2016，40（11）：3300-3309. DOI:10.13335/j.1000-3673.pst.2016.11.004.</w:t>
      </w:r>
    </w:p>
    <w:p>
      <w:pPr>
        <w:spacing w:line="360" w:lineRule="auto" w:after="60"/>
        <w:ind w:left="420" w:hanging="420"/>
      </w:pPr>
      <w:r>
        <w:rPr>
          <w:rFonts w:ascii="SimSun" w:hAnsi="SimSun" w:eastAsia="宋体"/>
          <w:b w:val="0"/>
          <w:sz w:val="24"/>
        </w:rPr>
        <w:t>[16] 任艺，周明，李庚银. 考虑用户需求响应的售电公司购售电决策双层模型[J]. 电力系统自动化，2017，41（14）：30-36.</w:t>
      </w:r>
    </w:p>
    <w:p>
      <w:pPr>
        <w:spacing w:line="360" w:lineRule="auto" w:after="60"/>
        <w:ind w:left="420" w:hanging="420"/>
      </w:pPr>
      <w:r>
        <w:rPr>
          <w:rFonts w:ascii="SimSun" w:hAnsi="SimSun" w:eastAsia="宋体"/>
          <w:b w:val="0"/>
          <w:sz w:val="24"/>
        </w:rPr>
        <w:t>[17] 王林炎，张粒子，张凡，等. 售电公司购售电业务决策与风险评估[J]. 电力系统自动化，2018，42（1）：47-54.</w:t>
      </w:r>
    </w:p>
    <w:p>
      <w:pPr>
        <w:spacing w:line="360" w:lineRule="auto" w:after="60"/>
        <w:ind w:left="420" w:hanging="420"/>
      </w:pPr>
      <w:r>
        <w:rPr>
          <w:rFonts w:ascii="SimSun" w:hAnsi="SimSun" w:eastAsia="宋体"/>
          <w:b w:val="0"/>
          <w:sz w:val="24"/>
        </w:rPr>
        <w:t>[18] 罗舒瀚，蒋传文，王旭，等. 新电改背景下售电公司的购售电策略及风险评估[J/OL]. 电网技术，2019，43（3）：944-953. DOI:10.13335/j.1000-3673.pst.2018.1132.</w:t>
      </w:r>
    </w:p>
    <w:p>
      <w:pPr>
        <w:spacing w:line="360" w:lineRule="auto" w:after="60"/>
        <w:ind w:left="420" w:hanging="420"/>
      </w:pPr>
      <w:r>
        <w:rPr>
          <w:rFonts w:ascii="SimSun" w:hAnsi="SimSun" w:eastAsia="宋体"/>
          <w:b w:val="0"/>
          <w:sz w:val="24"/>
        </w:rPr>
        <w:t>[19] 胡晨，杜松怀，苏娟，等. 新电改背景下我国售电公司的购售电途径与经营模式探讨[J/OL]. 电网技术，2016，40（11）：3293-3299. DOI:10.13335/j.1000-3673.pst.2016.11.003.</w:t>
      </w:r>
    </w:p>
    <w:p>
      <w:pPr>
        <w:spacing w:line="360" w:lineRule="auto" w:after="60"/>
        <w:ind w:left="420" w:hanging="420"/>
      </w:pPr>
      <w:r>
        <w:rPr>
          <w:rFonts w:ascii="SimSun" w:hAnsi="SimSun" w:eastAsia="宋体"/>
          <w:b w:val="0"/>
          <w:sz w:val="24"/>
        </w:rPr>
        <w:t>[20] 张钦，王锡凡，王建学. 需求侧实时电价下供电商购售电风险决策[J]. 电力系统自动化，2010，34（3）：22-27.</w:t>
      </w:r>
    </w:p>
    <w:p>
      <w:pPr>
        <w:spacing w:line="360" w:lineRule="auto" w:after="60"/>
        <w:ind w:left="420" w:hanging="420"/>
      </w:pPr>
      <w:r>
        <w:rPr>
          <w:rFonts w:ascii="SimSun" w:hAnsi="SimSun" w:eastAsia="宋体"/>
          <w:b w:val="0"/>
          <w:sz w:val="24"/>
        </w:rPr>
        <w:t>[21] Kettunen J，Salo A，Bunn D W. Optimization of Electricity Retailer’s Contract Portfolio Subject to Risk Preferences[J/OL]. IEEE Transactions on Power Systems，2010，25（1）：117-128. DOI:10.1109/TPWRS.2009.2032233.</w:t>
      </w:r>
    </w:p>
    <w:p>
      <w:pPr>
        <w:spacing w:line="360" w:lineRule="auto" w:after="60"/>
        <w:ind w:left="420" w:hanging="420"/>
      </w:pPr>
      <w:r>
        <w:rPr>
          <w:rFonts w:ascii="SimSun" w:hAnsi="SimSun" w:eastAsia="宋体"/>
          <w:b w:val="0"/>
          <w:sz w:val="24"/>
        </w:rPr>
        <w:t>[22] Liu M，Wu F F. Portfolio optimization in electricity markets[J/OL]. Electric Power Systems Research，2007，77（8）：1000-1009. DOI:10.1016/j.epsr.2006.08.025.</w:t>
      </w:r>
    </w:p>
    <w:p>
      <w:pPr>
        <w:spacing w:line="360" w:lineRule="auto" w:after="60"/>
        <w:ind w:left="420" w:hanging="420"/>
      </w:pPr>
      <w:r>
        <w:rPr>
          <w:rFonts w:ascii="SimSun" w:hAnsi="SimSun" w:eastAsia="宋体"/>
          <w:b w:val="0"/>
          <w:sz w:val="24"/>
        </w:rPr>
        <w:t>[23] Xu J，Luh P B，White F B，et al. Power Portfolio Optimization in Deregulated Electricity Markets With Risk Management[J/OL]. IEEE Transactions on Power Systems，2006，21（4）：1653-1662. DOI:10.1109/TPWRS.2006.879272.</w:t>
      </w:r>
    </w:p>
    <w:p>
      <w:pPr>
        <w:spacing w:line="360" w:lineRule="auto" w:after="60"/>
        <w:ind w:left="420" w:hanging="420"/>
      </w:pPr>
      <w:r>
        <w:rPr>
          <w:rFonts w:ascii="SimSun" w:hAnsi="SimSun" w:eastAsia="宋体"/>
          <w:b w:val="0"/>
          <w:sz w:val="24"/>
        </w:rPr>
        <w:t>[24] Bao M. Risk assessment and management of electricity markets: A review with suggestions[J/OL]. CSEE Journal of Power and Energy Systems，2021. https://ieeexplore.ieee.org/stamp/stamp.jsp?tp=&amp;arnumber=9535386. DOI:10.17775/CSEEJPES.2020.04250.</w:t>
      </w:r>
    </w:p>
    <w:p>
      <w:pPr>
        <w:spacing w:line="360" w:lineRule="auto" w:after="60"/>
        <w:ind w:left="420" w:hanging="420"/>
      </w:pPr>
      <w:r>
        <w:rPr>
          <w:rFonts w:ascii="SimSun" w:hAnsi="SimSun" w:eastAsia="宋体"/>
          <w:b w:val="0"/>
          <w:sz w:val="24"/>
        </w:rPr>
        <w:t>[25] Boroumand R H，Goutte S，Porcher S，et al. Hedging strategies in energy markets: The case of electricity retailers[J]. Energy Economics，2015，51：503-509. DOI:10.1016/j.eneco.2015.06.021.</w:t>
      </w:r>
    </w:p>
    <w:p>
      <w:pPr>
        <w:spacing w:line="360" w:lineRule="auto" w:after="60"/>
        <w:ind w:left="420" w:hanging="420"/>
      </w:pPr>
      <w:r>
        <w:rPr>
          <w:rFonts w:ascii="SimSun" w:hAnsi="SimSun" w:eastAsia="宋体"/>
          <w:b w:val="0"/>
          <w:sz w:val="24"/>
        </w:rPr>
        <w:t>[26] Sun B，Wang F，Xie J，et al. Electricity retailer trading portfolio optimization considering risk assessment in Chinese electricity market[J]. Electric Power Systems Research，2021，190：106833. DOI:10.1016/j.epsr.2020.106833.</w:t>
      </w:r>
    </w:p>
    <w:p>
      <w:pPr>
        <w:spacing w:line="360" w:lineRule="auto" w:after="60"/>
        <w:ind w:left="420" w:hanging="420"/>
      </w:pPr>
      <w:r>
        <w:rPr>
          <w:rFonts w:ascii="SimSun" w:hAnsi="SimSun" w:eastAsia="宋体"/>
          <w:b w:val="0"/>
          <w:sz w:val="24"/>
        </w:rPr>
        <w:t>[27] 彭一海，刘继春，刘俊勇. 两级电力市场环境下考虑多类型零售套餐的售电公司购售电策略[J/OL]. 电网技术，2022，46（3）：944-957. DOI:10.13335/j.1000-3673.pst.2021.1322.</w:t>
      </w:r>
    </w:p>
    <w:p>
      <w:pPr>
        <w:spacing w:line="360" w:lineRule="auto" w:after="60"/>
        <w:ind w:left="420" w:hanging="420"/>
      </w:pPr>
      <w:r>
        <w:rPr>
          <w:rFonts w:ascii="SimSun" w:hAnsi="SimSun" w:eastAsia="宋体"/>
          <w:b w:val="0"/>
          <w:sz w:val="24"/>
        </w:rPr>
        <w:t>[28] 尚楠，陈政，卢治霖，等. 电力市场、碳市场及绿证市场互动机理及协调机制[J/OL]. 电网技术，2023，47（1）：142-154. DOI:10.13335/j.1000-3673.pst.2022.0375.</w:t>
      </w:r>
    </w:p>
    <w:p>
      <w:pPr>
        <w:spacing w:line="360" w:lineRule="auto" w:after="60"/>
        <w:ind w:left="420" w:hanging="420"/>
      </w:pPr>
      <w:r>
        <w:rPr>
          <w:rFonts w:ascii="SimSun" w:hAnsi="SimSun" w:eastAsia="宋体"/>
          <w:b w:val="0"/>
          <w:sz w:val="24"/>
        </w:rPr>
        <w:t>[29] 肖云鹏，王锡凡，王秀丽，等. 面向高比例可再生能源的电力市场研究综述[J/OL]. 中国电机工程学报，2018，38（3）：663-674. DOI:10.13334/j.0258-8013.pcsee.172424.</w:t>
      </w:r>
    </w:p>
    <w:p>
      <w:pPr>
        <w:spacing w:line="360" w:lineRule="auto" w:after="60"/>
        <w:ind w:left="420" w:hanging="420"/>
      </w:pPr>
      <w:r>
        <w:rPr>
          <w:rFonts w:ascii="SimSun" w:hAnsi="SimSun" w:eastAsia="宋体"/>
          <w:b w:val="0"/>
          <w:sz w:val="24"/>
        </w:rPr>
        <w:t>[30] 王彩霞，时智勇，梁志峰，等. 新能源为主体电力系统的需求侧资源利用关键技术及展望[J]. 电力系统自动化，2021，45（16）：37-48.</w:t>
      </w:r>
    </w:p>
    <w:p>
      <w:pPr>
        <w:spacing w:line="360" w:lineRule="auto" w:after="60"/>
        <w:ind w:left="420" w:hanging="420"/>
      </w:pPr>
      <w:r>
        <w:rPr>
          <w:rFonts w:ascii="SimSun" w:hAnsi="SimSun" w:eastAsia="宋体"/>
          <w:b w:val="0"/>
          <w:sz w:val="24"/>
        </w:rPr>
        <w:t>[31] 方宇娟，杨汶瑾，李姚旺，等. 中国绿电交易市场机制研究综述及发展展望[J/OL]. 电力系统自动化，2025（录用定稿网络首发）.</w:t>
      </w:r>
    </w:p>
    <w:p>
      <w:pPr>
        <w:spacing w:line="360" w:lineRule="auto" w:after="60"/>
        <w:ind w:left="420" w:hanging="420"/>
      </w:pPr>
      <w:r>
        <w:rPr>
          <w:rFonts w:ascii="SimSun" w:hAnsi="SimSun" w:eastAsia="宋体"/>
          <w:b w:val="0"/>
          <w:sz w:val="24"/>
        </w:rPr>
        <w:t>[32] Kennedy J，Eberhart R. Particle swarm optimization[C]//Proceedings of ICNN'95 - International Conference on Neural Networks. IEEE，1995，4：1942-1948. DOI:10.1109/ICNN.1995.488968.</w:t>
      </w:r>
    </w:p>
    <w:p>
      <w:pPr>
        <w:spacing w:line="360" w:lineRule="auto" w:after="60"/>
        <w:ind w:left="420" w:hanging="420"/>
      </w:pPr>
      <w:r>
        <w:rPr>
          <w:rFonts w:ascii="SimSun" w:hAnsi="SimSun" w:eastAsia="宋体"/>
          <w:b w:val="0"/>
          <w:sz w:val="24"/>
        </w:rPr>
        <w:t>[33] Shi Y，Eberhart R. A modified particle swarm optimizer[C]//1998 IEEE International Conference on Evolutionary Computation Proceedings. IEEE，1998：69-73. DOI:10.1109/ICEC.1998.699146.</w:t>
      </w:r>
    </w:p>
    <w:p>
      <w:pPr>
        <w:spacing w:line="360" w:lineRule="auto" w:after="60"/>
        <w:ind w:left="420" w:hanging="420"/>
      </w:pPr>
      <w:r>
        <w:rPr>
          <w:rFonts w:ascii="SimSun" w:hAnsi="SimSun" w:eastAsia="宋体"/>
          <w:b w:val="0"/>
          <w:sz w:val="24"/>
        </w:rPr>
        <w:t>[34] Eberhart R C，Shi Y. Comparing inertia weights and constriction factors in particle swarm optimization[C]//Proceedings of the 2000 Congress on Evolutionary Computation. IEEE，2000，1：84-88. DOI:10.1109/CEC.2000.870279.</w:t>
      </w:r>
    </w:p>
    <w:p>
      <w:pPr>
        <w:spacing w:line="360" w:lineRule="auto" w:after="60"/>
        <w:ind w:left="420" w:hanging="420"/>
      </w:pPr>
      <w:r>
        <w:rPr>
          <w:rFonts w:ascii="SimSun" w:hAnsi="SimSun" w:eastAsia="宋体"/>
          <w:b w:val="0"/>
          <w:sz w:val="24"/>
        </w:rPr>
        <w:t>[35] Clerc M，Kennedy J. The particle swarm - explosion, stability, and convergence in a multidimensional complex space[J]. IEEE Transactions on Evolutionary Computation，2002，6（1）：58-73. DOI:10.1109/4235.985692.</w:t>
      </w:r>
    </w:p>
    <w:p>
      <w:pPr>
        <w:spacing w:line="360" w:lineRule="auto" w:after="60"/>
        <w:ind w:left="420" w:hanging="420"/>
      </w:pPr>
      <w:r>
        <w:rPr>
          <w:rFonts w:ascii="SimSun" w:hAnsi="SimSun" w:eastAsia="宋体"/>
          <w:b w:val="0"/>
          <w:sz w:val="24"/>
        </w:rPr>
        <w:t>[36] Poli R，Kennedy J，Blackwell T. Particle swarm optimization[J]. Swarm Intelligence，2007，1（1）：33-57. DOI:10.1007/s11721-007-0002-0.</w:t>
      </w:r>
    </w:p>
    <w:p>
      <w:pPr>
        <w:spacing w:line="360" w:lineRule="auto" w:after="60"/>
        <w:ind w:left="420" w:hanging="420"/>
      </w:pPr>
      <w:r>
        <w:rPr>
          <w:rFonts w:ascii="SimSun" w:hAnsi="SimSun" w:eastAsia="宋体"/>
          <w:b w:val="0"/>
          <w:sz w:val="24"/>
        </w:rPr>
        <w:t>[37] del Valle Y，Venayagamoorthy G K，Mohagheghi S，et al. Particle swarm optimization: Basic concepts, variants and applications in power systems[J]. IEEE Transactions on Evolutionary Computation，2008，12（2）：171-195. DOI:10.1109/TEVC.2007.896686.</w:t>
      </w:r>
    </w:p>
    <w:p>
      <w:pPr>
        <w:spacing w:line="360" w:lineRule="auto" w:after="60"/>
        <w:ind w:left="420" w:hanging="420"/>
      </w:pPr>
      <w:r>
        <w:rPr>
          <w:rFonts w:ascii="SimSun" w:hAnsi="SimSun" w:eastAsia="宋体"/>
          <w:b w:val="0"/>
          <w:sz w:val="24"/>
        </w:rPr>
        <w:t>[38] Deb K. An efficient constraint handling method for genetic algorithms[J]. Computer Methods in Applied Mechanics and Engineering，2000，186（2-4）：311-338. DOI:10.1016/S0045-7825(99)00389-8.</w:t>
      </w:r>
    </w:p>
    <w:p>
      <w:pPr>
        <w:spacing w:line="360" w:lineRule="auto" w:after="60"/>
        <w:ind w:left="420" w:hanging="420"/>
      </w:pPr>
      <w:r>
        <w:rPr>
          <w:rFonts w:ascii="SimSun" w:hAnsi="SimSun" w:eastAsia="宋体"/>
          <w:b w:val="0"/>
          <w:sz w:val="24"/>
        </w:rPr>
        <w:t>[39] Coello Coello C A. Theoretical and numerical constraint-handling techniques used with evolutionary algorithms: A survey of the state of the art[J]. Computer Methods in Applied Mechanics and Engineering，2002，191（11-12）：1245-1287. DOI:10.1016/S0045-7825(01)00323-1.</w:t>
      </w:r>
    </w:p>
    <w:p>
      <w:pPr>
        <w:spacing w:line="360" w:lineRule="auto" w:after="60"/>
        <w:ind w:left="420" w:hanging="420"/>
      </w:pPr>
      <w:r>
        <w:rPr>
          <w:rFonts w:ascii="SimSun" w:hAnsi="SimSun" w:eastAsia="宋体"/>
          <w:b w:val="0"/>
          <w:sz w:val="24"/>
        </w:rPr>
        <w:t>[40] Cabero J，Baillo A，Cerisola S，et al. A Medium-Term Integrated Risk Management Model for a Hydrothermal Generation Company[J/OL]. IEEE Transactions on Power Systems，2005，20（3）：1379-1388. DOI:10.1109/TPWRS.2005.851934.</w:t>
      </w:r>
    </w:p>
    <w:p>
      <w:pPr>
        <w:spacing w:line="360" w:lineRule="auto" w:after="60"/>
        <w:ind w:left="420" w:hanging="420"/>
      </w:pPr>
      <w:r>
        <w:rPr>
          <w:rFonts w:ascii="SimSun" w:hAnsi="SimSun" w:eastAsia="宋体"/>
          <w:b w:val="0"/>
          <w:sz w:val="24"/>
        </w:rPr>
        <w:t>[41] Deng S，Oren S. Electricity derivatives and risk management[J/OL]. Energy，2006，31（6-7）：940-953. DOI:10.1016/j.energy.2005.02.015.</w:t>
      </w:r>
    </w:p>
    <w:p>
      <w:pPr>
        <w:spacing w:line="360" w:lineRule="auto" w:after="60"/>
        <w:ind w:left="420" w:hanging="420"/>
      </w:pPr>
      <w:r>
        <w:rPr>
          <w:rFonts w:ascii="SimSun" w:hAnsi="SimSun" w:eastAsia="宋体"/>
          <w:b w:val="0"/>
          <w:sz w:val="24"/>
        </w:rPr>
        <w:t>[42] Artzner P，Delbaen F，Eber J M，Heath D. Coherent measures of risk[J]. Mathematical Finance，1999，9（3）：203-228. DOI:10.1111/1467-9965.00068.</w:t>
      </w:r>
    </w:p>
    <w:p>
      <w:pPr>
        <w:spacing w:line="360" w:lineRule="auto" w:after="60"/>
        <w:ind w:left="420" w:hanging="420"/>
      </w:pPr>
      <w:r>
        <w:rPr>
          <w:rFonts w:ascii="SimSun" w:hAnsi="SimSun" w:eastAsia="宋体"/>
          <w:b w:val="0"/>
          <w:sz w:val="24"/>
        </w:rPr>
        <w:t>[43] Rockafellar R T，Uryasev S. Optimization of conditional value-at-risk[J]. The Journal of Risk，2000，2（3）：21-41. DOI:10.21314/JOR.2000.038.</w:t>
      </w:r>
    </w:p>
    <w:p>
      <w:pPr>
        <w:spacing w:line="360" w:lineRule="auto" w:after="60"/>
        <w:ind w:left="420" w:hanging="420"/>
      </w:pPr>
      <w:r>
        <w:rPr>
          <w:rFonts w:ascii="SimSun" w:hAnsi="SimSun" w:eastAsia="宋体"/>
          <w:b w:val="0"/>
          <w:sz w:val="24"/>
        </w:rPr>
        <w:t>[44] 彭文，王金睿，尹山青. 电力市场中基于Attention-LSTM的短期负荷预测模型[J/OL]. 电网技术，2019，43（5）：1745-1751. DOI:10.13335/j.1000-3673.pst.2018.1554.</w:t>
      </w:r>
    </w:p>
    <w:p>
      <w:pPr>
        <w:spacing w:line="360" w:lineRule="auto" w:after="60"/>
        <w:ind w:left="420" w:hanging="420"/>
      </w:pPr>
      <w:r>
        <w:rPr>
          <w:rFonts w:ascii="SimSun" w:hAnsi="SimSun" w:eastAsia="宋体"/>
          <w:b w:val="0"/>
          <w:sz w:val="24"/>
        </w:rPr>
        <w:t>[45] 赵鸿图，朱治中，于尔铿. 电力市场中需求响应市场与需求响应项目研究[J/OL]. 电网技术，2010，34（5）：146-153. DOI:10.13335/j.1000-3673.pst.2010.05.040.</w:t>
      </w:r>
    </w:p>
    <w:p>
      <w:pPr>
        <w:spacing w:line="360" w:lineRule="auto" w:after="60"/>
        <w:ind w:left="420" w:hanging="420"/>
      </w:pPr>
      <w:r>
        <w:rPr>
          <w:rFonts w:ascii="SimSun" w:hAnsi="SimSun" w:eastAsia="宋体"/>
          <w:b w:val="0"/>
          <w:sz w:val="24"/>
        </w:rPr>
        <w:t>[46] 高赐威，李倩玉，李慧星，等. 基于负荷聚合商业务的需求响应资源整合方法与运营机制[J]. 电力系统自动化，2013，37（17）：78-86.</w:t>
      </w:r>
    </w:p>
    <w:p>
      <w:pPr>
        <w:spacing w:line="360" w:lineRule="auto" w:after="60"/>
        <w:ind w:left="420" w:hanging="420"/>
      </w:pPr>
      <w:r>
        <w:rPr>
          <w:rFonts w:ascii="SimSun" w:hAnsi="SimSun" w:eastAsia="宋体"/>
          <w:b w:val="0"/>
          <w:sz w:val="24"/>
        </w:rPr>
        <w:t>[47] 曾嘉志，赵雄飞，李静，等. 用电侧市场放开下的电力市场多主体博弈[J]. 电力系统自动化，2017，41（24）：129-136.</w:t>
      </w:r>
    </w:p>
    <w:p>
      <w:pPr>
        <w:spacing w:line="360" w:lineRule="auto" w:after="60"/>
        <w:ind w:left="420" w:hanging="420"/>
      </w:pPr>
      <w:r>
        <w:rPr>
          <w:rFonts w:ascii="SimSun" w:hAnsi="SimSun" w:eastAsia="宋体"/>
          <w:b w:val="0"/>
          <w:sz w:val="24"/>
        </w:rPr>
        <w:t>[48] 孙秋野，杨凌霄，张化光. 智慧能源—–人工智能技术在电力系统中的应用与展望[J/OL]. 控制与决策，2018，33（5）：938-949. DOI:10.13195/j.kzyjc.2017.1632.</w:t>
      </w:r>
    </w:p>
    <w:p>
      <w:pPr>
        <w:spacing w:line="360" w:lineRule="auto" w:after="60"/>
        <w:ind w:left="420" w:hanging="420"/>
      </w:pPr>
      <w:r>
        <w:rPr>
          <w:rFonts w:ascii="SimSun" w:hAnsi="SimSun" w:eastAsia="宋体"/>
          <w:b w:val="0"/>
          <w:sz w:val="24"/>
        </w:rPr>
        <w:t>[49] Aggarwal S K，Saini L M，Kumar A. Electricity price forecasting in deregulated markets: A review and evaluation[J/OL]. International Journal of Electrical Power &amp; Energy Systems，2009，31（1）：13-22. DOI:10.1016/j.ijepes.2008.09.003.</w:t>
      </w:r>
    </w:p>
    <w:p>
      <w:pPr>
        <w:spacing w:line="360" w:lineRule="auto" w:after="60"/>
        <w:ind w:left="420" w:hanging="420"/>
      </w:pPr>
      <w:r>
        <w:rPr>
          <w:rFonts w:ascii="SimSun" w:hAnsi="SimSun" w:eastAsia="宋体"/>
          <w:b w:val="0"/>
          <w:sz w:val="24"/>
        </w:rPr>
        <w:t>[50] Weron R. Electricity price forecasting: A review of the state-of-the-art with a look into the future[J/OL]. International Journal of Forecasting，2014，30（4）：1030-1081. DOI:10.1016/j.ijforecast.2014.08.008.</w:t>
      </w:r>
    </w:p>
    <w:p>
      <w:pPr>
        <w:spacing w:line="360" w:lineRule="auto" w:after="60"/>
        <w:ind w:left="420" w:hanging="420"/>
      </w:pPr>
      <w:r>
        <w:rPr>
          <w:rFonts w:ascii="SimSun" w:hAnsi="SimSun" w:eastAsia="宋体"/>
          <w:b w:val="0"/>
          <w:sz w:val="24"/>
        </w:rPr>
        <w:t>[51] Lago J，Marcjasz G，De Schutter B，et al. Forecasting day-ahead electricity prices: A review of state-of-the-art algorithms, best practices and an open-access benchmark[J/OL]. Applied Energy，2021，293：116983. DOI:10.1016/j.apenergy.2021.116983.</w:t>
      </w:r>
    </w:p>
    <w:p>
      <w:pPr>
        <w:spacing w:line="360" w:lineRule="auto" w:after="60"/>
        <w:ind w:left="420" w:hanging="420"/>
      </w:pPr>
      <w:r>
        <w:rPr>
          <w:rFonts w:ascii="SimSun" w:hAnsi="SimSun" w:eastAsia="宋体"/>
          <w:b w:val="0"/>
          <w:sz w:val="24"/>
        </w:rPr>
        <w:t>[52] Li G，Shi J，Qu X. Modeling methods for GenCo bidding strategy optimization in the liberalized electricity spot market–A state-of-the-art review[J/OL]. Energy，2011，36（8）：4686-4700. DOI:10.1016/j.energy.2011.06.015.</w:t>
      </w:r>
    </w:p>
    <w:p>
      <w:pPr>
        <w:spacing w:line="360" w:lineRule="auto" w:after="60"/>
        <w:ind w:left="420" w:hanging="420"/>
      </w:pPr>
      <w:r>
        <w:rPr>
          <w:rFonts w:ascii="SimSun" w:hAnsi="SimSun" w:eastAsia="宋体"/>
          <w:b w:val="0"/>
          <w:sz w:val="24"/>
        </w:rPr>
        <w:t>[53] Yang T，Zhao L，Li W，et al. Reinforcement learning in sustainable energy and electric systems: a survey[J/OL]. Annual Reviews in Control，2020，49：145-163. DOI:10.1016/j.arcontrol.2020.03.001.</w:t>
      </w:r>
    </w:p>
    <w:sectPr w:rsidR="00397226">
      <w:pgSz w:w="11906" w:h="16838"/>
      <w:pgMar w:top="1440" w:right="1474" w:bottom="1440"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8DD"/>
    <w:rsid w:val="001928DD"/>
    <w:rsid w:val="00397226"/>
    <w:rsid w:val="00B04B91"/>
    <w:rsid w:val="00DB0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909C"/>
  <w15:chartTrackingRefBased/>
  <w15:docId w15:val="{2EFD0FD8-9594-4A10-8A6A-3C03EA682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after="60"/>
      <w:ind w:firstLine="420"/>
    </w:pPr>
    <w:rPr>
      <w:rFonts w:ascii="SimSun" w:hAnsi="SimSun" w:eastAsia="宋体"/>
      <w:sz w:val="24"/>
    </w:rPr>
  </w:style>
  <w:style w:type="paragraph" w:styleId="1">
    <w:name w:val="heading 1"/>
    <w:basedOn w:val="a"/>
    <w:next w:val="a"/>
    <w:link w:val="10"/>
    <w:uiPriority w:val="9"/>
    <w:qFormat/>
    <w:rsid w:val="001928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28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28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28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28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28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28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28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28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28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28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28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28DD"/>
    <w:rPr>
      <w:rFonts w:cstheme="majorBidi"/>
      <w:color w:val="0F4761" w:themeColor="accent1" w:themeShade="BF"/>
      <w:sz w:val="28"/>
      <w:szCs w:val="28"/>
    </w:rPr>
  </w:style>
  <w:style w:type="character" w:customStyle="1" w:styleId="50">
    <w:name w:val="标题 5 字符"/>
    <w:basedOn w:val="a0"/>
    <w:link w:val="5"/>
    <w:uiPriority w:val="9"/>
    <w:semiHidden/>
    <w:rsid w:val="001928DD"/>
    <w:rPr>
      <w:rFonts w:cstheme="majorBidi"/>
      <w:color w:val="0F4761" w:themeColor="accent1" w:themeShade="BF"/>
      <w:sz w:val="24"/>
    </w:rPr>
  </w:style>
  <w:style w:type="character" w:customStyle="1" w:styleId="60">
    <w:name w:val="标题 6 字符"/>
    <w:basedOn w:val="a0"/>
    <w:link w:val="6"/>
    <w:uiPriority w:val="9"/>
    <w:semiHidden/>
    <w:rsid w:val="001928DD"/>
    <w:rPr>
      <w:rFonts w:cstheme="majorBidi"/>
      <w:b/>
      <w:bCs/>
      <w:color w:val="0F4761" w:themeColor="accent1" w:themeShade="BF"/>
    </w:rPr>
  </w:style>
  <w:style w:type="character" w:customStyle="1" w:styleId="70">
    <w:name w:val="标题 7 字符"/>
    <w:basedOn w:val="a0"/>
    <w:link w:val="7"/>
    <w:uiPriority w:val="9"/>
    <w:semiHidden/>
    <w:rsid w:val="001928DD"/>
    <w:rPr>
      <w:rFonts w:cstheme="majorBidi"/>
      <w:b/>
      <w:bCs/>
      <w:color w:val="595959" w:themeColor="text1" w:themeTint="A6"/>
    </w:rPr>
  </w:style>
  <w:style w:type="character" w:customStyle="1" w:styleId="80">
    <w:name w:val="标题 8 字符"/>
    <w:basedOn w:val="a0"/>
    <w:link w:val="8"/>
    <w:uiPriority w:val="9"/>
    <w:semiHidden/>
    <w:rsid w:val="001928DD"/>
    <w:rPr>
      <w:rFonts w:cstheme="majorBidi"/>
      <w:color w:val="595959" w:themeColor="text1" w:themeTint="A6"/>
    </w:rPr>
  </w:style>
  <w:style w:type="character" w:customStyle="1" w:styleId="90">
    <w:name w:val="标题 9 字符"/>
    <w:basedOn w:val="a0"/>
    <w:link w:val="9"/>
    <w:uiPriority w:val="9"/>
    <w:semiHidden/>
    <w:rsid w:val="001928DD"/>
    <w:rPr>
      <w:rFonts w:eastAsiaTheme="majorEastAsia" w:cstheme="majorBidi"/>
      <w:color w:val="595959" w:themeColor="text1" w:themeTint="A6"/>
    </w:rPr>
  </w:style>
  <w:style w:type="paragraph" w:styleId="a3">
    <w:name w:val="Title"/>
    <w:basedOn w:val="a"/>
    <w:next w:val="a"/>
    <w:link w:val="a4"/>
    <w:uiPriority w:val="10"/>
    <w:qFormat/>
    <w:rsid w:val="001928DD"/>
    <w:pPr>
      <w:spacing w:after="80" w:line="240" w:lineRule="auto"/>
      <w:contextualSpacing/>
      <w:jc w:val="center"/>
    </w:pPr>
    <w:rPr>
      <w:rFonts w:asciiTheme="majorHAnsi" w:eastAsiaTheme="majorEastAsia" w:hAnsiTheme="majorHAnsi" w:cstheme="majorBidi" w:ascii="SimHei" w:hAnsi="SimHei" w:eastAsia="黑体"/>
      <w:spacing w:val="-10"/>
      <w:kern w:val="28"/>
      <w:sz w:val="56"/>
      <w:szCs w:val="56"/>
    </w:rPr>
  </w:style>
  <w:style w:type="character" w:customStyle="1" w:styleId="a4">
    <w:name w:val="标题 字符"/>
    <w:basedOn w:val="a0"/>
    <w:link w:val="a3"/>
    <w:uiPriority w:val="10"/>
    <w:rsid w:val="001928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8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28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28DD"/>
    <w:pPr>
      <w:spacing w:before="160"/>
      <w:jc w:val="center"/>
    </w:pPr>
    <w:rPr>
      <w:i/>
      <w:iCs/>
      <w:color w:val="404040" w:themeColor="text1" w:themeTint="BF"/>
    </w:rPr>
  </w:style>
  <w:style w:type="character" w:customStyle="1" w:styleId="a8">
    <w:name w:val="引用 字符"/>
    <w:basedOn w:val="a0"/>
    <w:link w:val="a7"/>
    <w:uiPriority w:val="29"/>
    <w:rsid w:val="001928DD"/>
    <w:rPr>
      <w:i/>
      <w:iCs/>
      <w:color w:val="404040" w:themeColor="text1" w:themeTint="BF"/>
    </w:rPr>
  </w:style>
  <w:style w:type="paragraph" w:styleId="a9">
    <w:name w:val="List Paragraph"/>
    <w:basedOn w:val="a"/>
    <w:uiPriority w:val="34"/>
    <w:qFormat/>
    <w:rsid w:val="001928DD"/>
    <w:pPr>
      <w:ind w:left="720"/>
      <w:contextualSpacing/>
    </w:pPr>
  </w:style>
  <w:style w:type="character" w:styleId="aa">
    <w:name w:val="Intense Emphasis"/>
    <w:basedOn w:val="a0"/>
    <w:uiPriority w:val="21"/>
    <w:qFormat/>
    <w:rsid w:val="001928DD"/>
    <w:rPr>
      <w:i/>
      <w:iCs/>
      <w:color w:val="0F4761" w:themeColor="accent1" w:themeShade="BF"/>
    </w:rPr>
  </w:style>
  <w:style w:type="paragraph" w:styleId="ab">
    <w:name w:val="Intense Quote"/>
    <w:basedOn w:val="a"/>
    <w:next w:val="a"/>
    <w:link w:val="ac"/>
    <w:uiPriority w:val="30"/>
    <w:qFormat/>
    <w:rsid w:val="00192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28DD"/>
    <w:rPr>
      <w:i/>
      <w:iCs/>
      <w:color w:val="0F4761" w:themeColor="accent1" w:themeShade="BF"/>
    </w:rPr>
  </w:style>
  <w:style w:type="character" w:styleId="ad">
    <w:name w:val="Intense Reference"/>
    <w:basedOn w:val="a0"/>
    <w:uiPriority w:val="32"/>
    <w:qFormat/>
    <w:rsid w:val="001928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Words>
  <Characters>168</Characters>
  <Application>Microsoft Office Word</Application>
  <DocSecurity>0</DocSecurity>
  <Lines>1</Lines>
  <Paragraphs>1</Paragraphs>
  <ScaleCrop>false</ScaleCrop>
  <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湖南电力市场售电公司多时间尺度采购策略优化研究开题报告</dc:title>
  <dc:subject>开题报告</dc:subject>
  <dc:creator>杜玄哲</dc:creator>
  <cp:keywords/>
  <dc:description/>
  <cp:lastModifiedBy>Xuanzhe Du</cp:lastModifiedBy>
  <cp:revision>1</cp:revision>
  <dcterms:created xsi:type="dcterms:W3CDTF">2026-04-30T13:26:00Z</dcterms:created>
  <dcterms:modified xsi:type="dcterms:W3CDTF">2026-04-30T13:27:00Z</dcterms:modified>
</cp:coreProperties>
</file>