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2126" w:rsidRDefault="00D22126" w:rsidP="00D22126">
      <w:pPr>
        <w:pStyle w:val="TitleCN"/>
        <w:spacing w:after="160" w:line="360" w:lineRule="auto"/>
        <w:jc w:val="center"/>
        <w:rPr>
          <w:lang w:eastAsia="zh-CN"/>
        </w:rPr>
      </w:pPr>
      <w:r>
        <w:rPr>
          <w:lang w:eastAsia="zh-CN"/>
        </w:rPr>
        <w:t>第一章</w:t>
      </w:r>
      <w:r>
        <w:rPr>
          <w:lang w:eastAsia="zh-CN"/>
        </w:rPr>
        <w:t xml:space="preserve"> </w:t>
      </w:r>
      <w:r>
        <w:rPr>
          <w:lang w:eastAsia="zh-CN"/>
        </w:rPr>
        <w:t>引言</w:t>
      </w:r>
    </w:p>
    <w:p w:rsidR="001E7832" w:rsidRDefault="00333835">
      <w:pPr>
        <w:pStyle w:val="Heading1CN"/>
        <w:rPr>
          <w:lang w:eastAsia="zh-CN"/>
        </w:rPr>
      </w:pPr>
      <w:r>
        <w:rPr>
          <w:lang w:eastAsia="zh-CN"/>
        </w:rPr>
        <w:t xml:space="preserve">1.1 </w:t>
      </w:r>
      <w:r>
        <w:rPr>
          <w:lang w:eastAsia="zh-CN"/>
        </w:rPr>
        <w:t>研究背景与意义</w:t>
      </w:r>
    </w:p>
    <w:p w:rsidR="001E7832" w:rsidRDefault="00333835">
      <w:pPr>
        <w:pStyle w:val="BodyCN"/>
        <w:rPr>
          <w:lang w:eastAsia="zh-CN"/>
        </w:rPr>
      </w:pPr>
      <w:r>
        <w:rPr>
          <w:lang w:eastAsia="zh-CN"/>
        </w:rPr>
        <w:t>党的二十大以来，全国统一电力市场体系建设持续推进，电力体制改革与能源绿色低碳转型同步深化，电力系统运行机制正由以计划调度为主逐步转向中长期、现货与辅助服务协同运行的市场化格局。随着交易规则、价格机制和结算安排不断细化，电力市场在资源优化配置和价格形成中的作用日益增强。湖南作为中部地区重要负荷省份，近年来在需求响应、辅助服务和现货市场建设等方面推进较快，尤其在现货试运行持续深入的背景下，中长期与现货衔接、分时结算和主体行为约束等制度安排日趋明确，售电公司的经营环境也随之发生明显变化。</w:t>
      </w:r>
    </w:p>
    <w:p w:rsidR="001E7832" w:rsidRDefault="00333835">
      <w:pPr>
        <w:pStyle w:val="BodyCN"/>
        <w:rPr>
          <w:lang w:eastAsia="zh-CN"/>
        </w:rPr>
      </w:pPr>
      <w:r>
        <w:rPr>
          <w:lang w:eastAsia="zh-CN"/>
        </w:rPr>
        <w:t>与此同时，新能源装机规模扩大、负荷波动增强以及系统调节需求提高，使电力市场运行中的不确定性进一步上升。对售电公司而言，中长期合约能够稳定部分购电成本并形成基础持仓，但持仓比例过高又可能削弱对短期市场变化的调整能力；现货市场能够及时反映供需变化，却也可能在高波动时段放大经营风险。湖南电力市场正处于规则加快完善、现货机制持续推进的阶段，售电公司既要在月度中长期交易中完成持仓安排，也要在日前、实时等市场中应对价格和负荷偏差风险，单纯依赖经验进行购售电决策，已较难同时兼顾成本、收益与风险控制。</w:t>
      </w:r>
    </w:p>
    <w:p w:rsidR="001E7832" w:rsidRDefault="00333835">
      <w:pPr>
        <w:pStyle w:val="BodyCN"/>
        <w:rPr>
          <w:lang w:eastAsia="zh-CN"/>
        </w:rPr>
      </w:pPr>
      <w:r>
        <w:rPr>
          <w:lang w:eastAsia="zh-CN"/>
        </w:rPr>
        <w:t>从研究层面看，现有文献对中长期交易、现货运行、风险管理和智能决策虽已有较多讨论，但围绕售电公司</w:t>
      </w:r>
      <w:r>
        <w:rPr>
          <w:lang w:eastAsia="zh-CN"/>
        </w:rPr>
        <w:t>“</w:t>
      </w:r>
      <w:r>
        <w:rPr>
          <w:lang w:eastAsia="zh-CN"/>
        </w:rPr>
        <w:t>中长期持仓</w:t>
      </w:r>
      <w:r>
        <w:rPr>
          <w:lang w:eastAsia="zh-CN"/>
        </w:rPr>
        <w:t>—</w:t>
      </w:r>
      <w:r>
        <w:rPr>
          <w:lang w:eastAsia="zh-CN"/>
        </w:rPr>
        <w:t>现货对冲</w:t>
      </w:r>
      <w:r>
        <w:rPr>
          <w:lang w:eastAsia="zh-CN"/>
        </w:rPr>
        <w:t>”</w:t>
      </w:r>
      <w:r>
        <w:rPr>
          <w:lang w:eastAsia="zh-CN"/>
        </w:rPr>
        <w:t>这一复合决策问题的研究仍相对有限。基于此，本文以湖南电力市场为背景，以售电公司为研究主体，讨论中长期合约择时与现货风险对冲的联动机制，并尝试构建适应高波动市场环境的动态决策模型，以期为售电公司购电策略优化提供分析框架。</w:t>
      </w:r>
    </w:p>
    <w:p w:rsidR="001E7832" w:rsidRDefault="00333835">
      <w:pPr>
        <w:pStyle w:val="Heading1CN"/>
        <w:rPr>
          <w:lang w:eastAsia="zh-CN"/>
        </w:rPr>
      </w:pPr>
      <w:r>
        <w:rPr>
          <w:lang w:eastAsia="zh-CN"/>
        </w:rPr>
        <w:t xml:space="preserve">1.2 </w:t>
      </w:r>
      <w:r>
        <w:rPr>
          <w:lang w:eastAsia="zh-CN"/>
        </w:rPr>
        <w:t>国内外研究现状</w:t>
      </w:r>
    </w:p>
    <w:p w:rsidR="001E7832" w:rsidRDefault="00333835">
      <w:pPr>
        <w:pStyle w:val="BodyCN"/>
        <w:rPr>
          <w:lang w:eastAsia="zh-CN"/>
        </w:rPr>
      </w:pPr>
      <w:r>
        <w:rPr>
          <w:lang w:eastAsia="zh-CN"/>
        </w:rPr>
        <w:t>与本文相关的已有研究，主要集中在深度强化学习在电力场景中的应用、电力价格风险与套期保值，以及风险测度与鲁棒控制等方面。总体来看，现有成果已为本文提供了较好的方法基础，但在研究对象和制度嵌入方面仍有进一步拓展空间。</w:t>
      </w:r>
    </w:p>
    <w:p w:rsidR="001E7832" w:rsidRDefault="00333835">
      <w:pPr>
        <w:pStyle w:val="BodyCN"/>
        <w:rPr>
          <w:lang w:eastAsia="zh-CN"/>
        </w:rPr>
      </w:pPr>
      <w:r>
        <w:rPr>
          <w:lang w:eastAsia="zh-CN"/>
        </w:rPr>
        <w:t>在深度强化学习与能源管理研究方面，相关文献普遍将复杂能源系统运行问题处理为序贯决策问题，并利用深度强化学习方法在动态环境中持续修正策略。</w:t>
      </w:r>
      <w:r>
        <w:rPr>
          <w:lang w:eastAsia="zh-CN"/>
        </w:rPr>
        <w:t xml:space="preserve">[1] </w:t>
      </w:r>
      <w:r>
        <w:rPr>
          <w:lang w:eastAsia="zh-CN"/>
        </w:rPr>
        <w:t>在大规模电力系统负荷削减、应急控制和动态能量管理等场景中，已有研究进一步表明，面对高维状态空间、不确定性和实时决策要求，深度强化学习仍具有较好的适应能力与鲁棒性。</w:t>
      </w:r>
      <w:r>
        <w:rPr>
          <w:lang w:eastAsia="zh-CN"/>
        </w:rPr>
        <w:t xml:space="preserve">[2][7] </w:t>
      </w:r>
      <w:r>
        <w:rPr>
          <w:lang w:eastAsia="zh-CN"/>
        </w:rPr>
        <w:t>这为本文将售电公司购电决策抽象为</w:t>
      </w:r>
      <w:r>
        <w:rPr>
          <w:lang w:eastAsia="zh-CN"/>
        </w:rPr>
        <w:t>“</w:t>
      </w:r>
      <w:r>
        <w:rPr>
          <w:lang w:eastAsia="zh-CN"/>
        </w:rPr>
        <w:t>状态</w:t>
      </w:r>
      <w:r>
        <w:rPr>
          <w:lang w:eastAsia="zh-CN"/>
        </w:rPr>
        <w:t>—</w:t>
      </w:r>
      <w:r>
        <w:rPr>
          <w:lang w:eastAsia="zh-CN"/>
        </w:rPr>
        <w:t>动作</w:t>
      </w:r>
      <w:r>
        <w:rPr>
          <w:lang w:eastAsia="zh-CN"/>
        </w:rPr>
        <w:t>—</w:t>
      </w:r>
      <w:r>
        <w:rPr>
          <w:lang w:eastAsia="zh-CN"/>
        </w:rPr>
        <w:t>奖励</w:t>
      </w:r>
      <w:r>
        <w:rPr>
          <w:lang w:eastAsia="zh-CN"/>
        </w:rPr>
        <w:t>”</w:t>
      </w:r>
      <w:r>
        <w:rPr>
          <w:lang w:eastAsia="zh-CN"/>
        </w:rPr>
        <w:t>结构提供了方法依据。</w:t>
      </w:r>
    </w:p>
    <w:p w:rsidR="001E7832" w:rsidRDefault="00333835">
      <w:pPr>
        <w:pStyle w:val="BodyCN"/>
        <w:rPr>
          <w:lang w:eastAsia="zh-CN"/>
        </w:rPr>
      </w:pPr>
      <w:r>
        <w:rPr>
          <w:lang w:eastAsia="zh-CN"/>
        </w:rPr>
        <w:t>在风险对冲与资产管理研究方面，金融领域关于组合对冲与多风险协同管理的研究具有较强借鉴意义。已有成果表明，分布式强化学习能够在多维风险暴露下兼顾收</w:t>
      </w:r>
      <w:r>
        <w:rPr>
          <w:lang w:eastAsia="zh-CN"/>
        </w:rPr>
        <w:lastRenderedPageBreak/>
        <w:t>益目标与风险敞口控制。</w:t>
      </w:r>
      <w:r>
        <w:rPr>
          <w:lang w:eastAsia="zh-CN"/>
        </w:rPr>
        <w:t xml:space="preserve">[3] </w:t>
      </w:r>
      <w:r>
        <w:rPr>
          <w:lang w:eastAsia="zh-CN"/>
        </w:rPr>
        <w:t>电力市场研究也较早关注电价风险与电量风险的联合管理，指出套期保值不宜仅针对单一价格变量，而应在统一框架下处理合约、电量及波动风险。</w:t>
      </w:r>
      <w:r>
        <w:rPr>
          <w:lang w:eastAsia="zh-CN"/>
        </w:rPr>
        <w:t xml:space="preserve">[4][5] </w:t>
      </w:r>
      <w:r>
        <w:rPr>
          <w:lang w:eastAsia="zh-CN"/>
        </w:rPr>
        <w:t>一致性风险测度理论则为收益与尾部风险的统一评价提供了基础，</w:t>
      </w:r>
      <w:r>
        <w:rPr>
          <w:lang w:eastAsia="zh-CN"/>
        </w:rPr>
        <w:t>CVaR</w:t>
      </w:r>
      <w:r>
        <w:rPr>
          <w:lang w:eastAsia="zh-CN"/>
        </w:rPr>
        <w:t>等指标已被广泛用于动态策略评估。</w:t>
      </w:r>
      <w:r>
        <w:rPr>
          <w:lang w:eastAsia="zh-CN"/>
        </w:rPr>
        <w:t xml:space="preserve">[6] </w:t>
      </w:r>
      <w:r>
        <w:rPr>
          <w:lang w:eastAsia="zh-CN"/>
        </w:rPr>
        <w:t>同时，部分强化学习研究开始引入风险约束与极端情景扰动，以提升策略在不确定环境中的稳定性和可解释性。</w:t>
      </w:r>
      <w:r>
        <w:rPr>
          <w:lang w:eastAsia="zh-CN"/>
        </w:rPr>
        <w:t>[7][8]</w:t>
      </w:r>
    </w:p>
    <w:p w:rsidR="001E7832" w:rsidRDefault="00333835">
      <w:pPr>
        <w:pStyle w:val="BodyCN"/>
        <w:rPr>
          <w:lang w:eastAsia="zh-CN"/>
        </w:rPr>
      </w:pPr>
      <w:r>
        <w:rPr>
          <w:lang w:eastAsia="zh-CN"/>
        </w:rPr>
        <w:t>不过，现有研究更多以发电侧、电源侧或微电网为对象，从售电公司视角讨论购电组合配置与零售风险传导的成果相对较少；对于规则变动和地方市场制度约束的嵌入，也仍显不足。因此，本文拟在已有研究基础上，结合湖南电力市场制度环境与售电公司经营特征，对中长期合约择时与现货风险对冲问题作进一步讨论。</w:t>
      </w:r>
    </w:p>
    <w:p w:rsidR="001E7832" w:rsidRDefault="00333835">
      <w:pPr>
        <w:pStyle w:val="Heading1CN"/>
        <w:rPr>
          <w:lang w:eastAsia="zh-CN"/>
        </w:rPr>
      </w:pPr>
      <w:r>
        <w:rPr>
          <w:lang w:eastAsia="zh-CN"/>
        </w:rPr>
        <w:t xml:space="preserve">1.3 </w:t>
      </w:r>
      <w:r>
        <w:rPr>
          <w:lang w:eastAsia="zh-CN"/>
        </w:rPr>
        <w:t>研究问题、研究思路与研究内容</w:t>
      </w:r>
    </w:p>
    <w:p w:rsidR="001E7832" w:rsidRDefault="00333835">
      <w:pPr>
        <w:pStyle w:val="BodyCN"/>
        <w:rPr>
          <w:lang w:eastAsia="zh-CN"/>
        </w:rPr>
      </w:pPr>
      <w:r>
        <w:rPr>
          <w:lang w:eastAsia="zh-CN"/>
        </w:rPr>
        <w:t>基于前述背景和文献分析，本文关注的核心问题是：在湖南电力市场规则框架下，售电公司如何根据价格波动、负荷偏差、新能源出力不确定性和政策扰动等因素，动态调整中长期合约持仓，并借助现货市场交易实现对持仓风险的有效管理。围绕这一问题，本文进一步讨论中长期合约持仓如何确定、现货市场如何承担风险缓释功能，以及在引入深度强化学习后，模型能否在追求收益的同时兼顾波动控制、尾部风险约束和规则适应能力。</w:t>
      </w:r>
    </w:p>
    <w:p w:rsidR="001E7832" w:rsidRDefault="00333835">
      <w:pPr>
        <w:pStyle w:val="BodyCN"/>
        <w:rPr>
          <w:lang w:eastAsia="zh-CN"/>
        </w:rPr>
      </w:pPr>
      <w:r>
        <w:rPr>
          <w:lang w:eastAsia="zh-CN"/>
        </w:rPr>
        <w:t>全文按照</w:t>
      </w:r>
      <w:r>
        <w:rPr>
          <w:lang w:eastAsia="zh-CN"/>
        </w:rPr>
        <w:t>“</w:t>
      </w:r>
      <w:r>
        <w:rPr>
          <w:lang w:eastAsia="zh-CN"/>
        </w:rPr>
        <w:t>制度基础识别</w:t>
      </w:r>
      <w:r>
        <w:rPr>
          <w:lang w:eastAsia="zh-CN"/>
        </w:rPr>
        <w:t>—</w:t>
      </w:r>
      <w:r>
        <w:rPr>
          <w:lang w:eastAsia="zh-CN"/>
        </w:rPr>
        <w:t>风险机理分析</w:t>
      </w:r>
      <w:r>
        <w:rPr>
          <w:lang w:eastAsia="zh-CN"/>
        </w:rPr>
        <w:t>—</w:t>
      </w:r>
      <w:r>
        <w:rPr>
          <w:lang w:eastAsia="zh-CN"/>
        </w:rPr>
        <w:t>问题建模</w:t>
      </w:r>
      <w:r>
        <w:rPr>
          <w:lang w:eastAsia="zh-CN"/>
        </w:rPr>
        <w:t>—</w:t>
      </w:r>
      <w:r>
        <w:rPr>
          <w:lang w:eastAsia="zh-CN"/>
        </w:rPr>
        <w:t>策略求解</w:t>
      </w:r>
      <w:r>
        <w:rPr>
          <w:lang w:eastAsia="zh-CN"/>
        </w:rPr>
        <w:t>—</w:t>
      </w:r>
      <w:r>
        <w:rPr>
          <w:lang w:eastAsia="zh-CN"/>
        </w:rPr>
        <w:t>回测评价</w:t>
      </w:r>
      <w:r>
        <w:rPr>
          <w:lang w:eastAsia="zh-CN"/>
        </w:rPr>
        <w:t>”</w:t>
      </w:r>
      <w:r>
        <w:rPr>
          <w:lang w:eastAsia="zh-CN"/>
        </w:rPr>
        <w:t>的思路展开。第二章梳理湖南电力市场的制度基础和风险传导机制；第三章将售电公司的购电与对冲行为抽象为动态决策问题，界定状态变量、决策变量、约束条件以及收益函数和风险惩罚项；第四章将该问题映射为强化学习框架，完成状态空间、动作空间、奖励函数及训练机制设计，并设置基准策略；第五章利用样本数据开展仿真回测，从收益表现、波动控制、尾部风险和策略稳定性等方面检验模型效果；第六章对全文研究结论进行归纳，并提出相应的管理启示与政策建议。</w:t>
      </w:r>
    </w:p>
    <w:p w:rsidR="001E7832" w:rsidRDefault="00333835">
      <w:pPr>
        <w:pStyle w:val="BodyCN"/>
        <w:rPr>
          <w:lang w:eastAsia="zh-CN"/>
        </w:rPr>
      </w:pPr>
      <w:r>
        <w:rPr>
          <w:lang w:eastAsia="zh-CN"/>
        </w:rPr>
        <w:t>就研究内容而言，本文不将中长期合约配置与现货偏差处理视为彼此割裂的两个问题，而是将其纳入售电公司整体购电组合管理框架加以考察，既关注中长期合约在稳定成本预期、形成基础持仓方面的作用，也关注实际负荷偏差和现货价格波动如何改变既有持仓的风险暴露。在方法上，本文尝试将深度强化学习引入售电公司购电与对冲决策场景，使策略能够随市场状态变化动态调整；在研究边界上，则坚持以湖南电力市场制度环境为基础，使模型设定尽量贴近现实经营场景。</w:t>
      </w:r>
    </w:p>
    <w:p w:rsidR="0094402A" w:rsidRPr="0094402A" w:rsidRDefault="0094402A" w:rsidP="0094402A">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94402A">
        <w:rPr>
          <w:rFonts w:ascii="宋体" w:eastAsia="宋体" w:hAnsi="宋体" w:cs="宋体"/>
          <w:b/>
          <w:bCs/>
          <w:kern w:val="0"/>
          <w:sz w:val="36"/>
          <w:szCs w:val="36"/>
          <w14:ligatures w14:val="none"/>
        </w:rPr>
        <w:t>第二章 湖南电力市场制度基础与售电公司风险机理</w:t>
      </w:r>
    </w:p>
    <w:p w:rsidR="0094402A" w:rsidRPr="0094402A" w:rsidRDefault="0094402A" w:rsidP="0094402A">
      <w:pPr>
        <w:widowControl/>
        <w:spacing w:before="100" w:beforeAutospacing="1" w:after="100" w:afterAutospacing="1" w:line="240" w:lineRule="auto"/>
        <w:rPr>
          <w:rFonts w:ascii="宋体" w:eastAsia="宋体" w:hAnsi="宋体" w:cs="宋体"/>
          <w:kern w:val="0"/>
          <w:sz w:val="24"/>
          <w14:ligatures w14:val="none"/>
        </w:rPr>
      </w:pPr>
      <w:r w:rsidRPr="0094402A">
        <w:rPr>
          <w:rFonts w:ascii="宋体" w:eastAsia="宋体" w:hAnsi="宋体" w:cs="宋体"/>
          <w:kern w:val="0"/>
          <w:sz w:val="24"/>
          <w14:ligatures w14:val="none"/>
        </w:rPr>
        <w:t>承接前文关于中长期合约配置与现货风险对冲联动关系的讨论，本文进一步回到湖南电力市场的具体规则框架之中，从制度边界、市场衔接、收益形成和风险传导四个方面展开分析。只有先把售电公司所处的交易环境和结算约束说明清楚，后续关</w:t>
      </w:r>
      <w:r w:rsidRPr="0094402A">
        <w:rPr>
          <w:rFonts w:ascii="宋体" w:eastAsia="宋体" w:hAnsi="宋体" w:cs="宋体"/>
          <w:kern w:val="0"/>
          <w:sz w:val="24"/>
          <w14:ligatures w14:val="none"/>
        </w:rPr>
        <w:lastRenderedPageBreak/>
        <w:t>于中长期持仓调整与现货对冲的建模才具有现实基础，也才能使第三章的问题设定与湖南市场运行实际相衔接。</w:t>
      </w:r>
    </w:p>
    <w:p w:rsidR="0094402A" w:rsidRPr="0094402A" w:rsidRDefault="0094402A" w:rsidP="0094402A">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94402A">
        <w:rPr>
          <w:rFonts w:ascii="宋体" w:eastAsia="宋体" w:hAnsi="宋体" w:cs="宋体"/>
          <w:b/>
          <w:bCs/>
          <w:kern w:val="0"/>
          <w:sz w:val="27"/>
          <w:szCs w:val="27"/>
          <w14:ligatures w14:val="none"/>
        </w:rPr>
        <w:t>2.1 湖南电力市场制度环境与规则适用范围</w:t>
      </w:r>
    </w:p>
    <w:p w:rsidR="0094402A" w:rsidRPr="0094402A" w:rsidRDefault="0094402A" w:rsidP="0094402A">
      <w:pPr>
        <w:widowControl/>
        <w:spacing w:before="100" w:beforeAutospacing="1" w:after="100" w:afterAutospacing="1" w:line="240" w:lineRule="auto"/>
        <w:rPr>
          <w:rFonts w:ascii="宋体" w:eastAsia="宋体" w:hAnsi="宋体" w:cs="宋体"/>
          <w:kern w:val="0"/>
          <w:sz w:val="24"/>
          <w14:ligatures w14:val="none"/>
        </w:rPr>
      </w:pPr>
      <w:r w:rsidRPr="0094402A">
        <w:rPr>
          <w:rFonts w:ascii="宋体" w:eastAsia="宋体" w:hAnsi="宋体" w:cs="宋体"/>
          <w:kern w:val="0"/>
          <w:sz w:val="24"/>
          <w14:ligatures w14:val="none"/>
        </w:rPr>
        <w:t>本文研究区域为湖南省电力市场，研究时段为2025年11月1日至2026年3月20日，研究主体为售电公司，重点讨论中长期市场、日前现货和实时现货三个层面的联动关系。从制度结构看，湖南电力市场已形成中长期、现货、零售和辅助服务相互衔接的基本框架。工商业用户原则上进入市场购电体系，但可根据电压等级和准入条件选择批发交易、零售交易或者代理购电；售电公司则处于批发侧与零售侧之间，既要按照规则参与交易、签订并履行合同，也要承担履约保障、信息报送、用户管理和结算配合等责任。也就是说，售电公司的经营活动并不是单纯的买卖撮合，而是在准入注册、交易组织、计量结算和市场监管共同约束下展开的连续经营行为。后续关于合约配置、现货敞口和收益波动的讨论，均以这一制度前提为基础。</w:t>
      </w:r>
    </w:p>
    <w:p w:rsidR="0094402A" w:rsidRPr="0094402A" w:rsidRDefault="0094402A" w:rsidP="0094402A">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94402A">
        <w:rPr>
          <w:rFonts w:ascii="宋体" w:eastAsia="宋体" w:hAnsi="宋体" w:cs="宋体"/>
          <w:b/>
          <w:bCs/>
          <w:kern w:val="0"/>
          <w:sz w:val="27"/>
          <w:szCs w:val="27"/>
          <w14:ligatures w14:val="none"/>
        </w:rPr>
        <w:t>2.2 中长期市场、现货市场与零售市场衔接机制</w:t>
      </w:r>
    </w:p>
    <w:p w:rsidR="0094402A" w:rsidRPr="0094402A" w:rsidRDefault="0094402A" w:rsidP="0094402A">
      <w:pPr>
        <w:widowControl/>
        <w:spacing w:before="100" w:beforeAutospacing="1" w:after="100" w:afterAutospacing="1" w:line="240" w:lineRule="auto"/>
        <w:rPr>
          <w:rFonts w:ascii="宋体" w:eastAsia="宋体" w:hAnsi="宋体" w:cs="宋体"/>
          <w:kern w:val="0"/>
          <w:sz w:val="24"/>
          <w14:ligatures w14:val="none"/>
        </w:rPr>
      </w:pPr>
      <w:r w:rsidRPr="0094402A">
        <w:rPr>
          <w:rFonts w:ascii="宋体" w:eastAsia="宋体" w:hAnsi="宋体" w:cs="宋体"/>
          <w:kern w:val="0"/>
          <w:sz w:val="24"/>
          <w14:ligatures w14:val="none"/>
        </w:rPr>
        <w:t>湖南中长期交易覆盖年、多月、月和多日等周期，售电公司可以通过双边协商、集中竞价、挂牌等方式组织购电。对本文而言，更关键的不只是中长期合同的签订，而是其与现货市场之间的衔接方式。按照现行湖南规则，中长期合约主要作为结算依据管理市场风险，现货交易则采用全电量集中竞价模式，中长期交易结果不再直接作为调度执行依据。与此同时，中长期交易电量需要按照负荷特征分解形成分时曲线，其中月度交易按照24时段组织，研究中采用的月度持仓和24时段曲线分解，正是建立在这一制度安排之上。由此可见，售电公司在月度购电阶段就必须同时考虑总量锁定和分时结构，而不能只围绕总电量进行静态配置。</w:t>
      </w:r>
    </w:p>
    <w:p w:rsidR="0094402A" w:rsidRPr="0094402A" w:rsidRDefault="0094402A" w:rsidP="0094402A">
      <w:pPr>
        <w:widowControl/>
        <w:spacing w:before="100" w:beforeAutospacing="1" w:after="100" w:afterAutospacing="1" w:line="240" w:lineRule="auto"/>
        <w:rPr>
          <w:rFonts w:ascii="宋体" w:eastAsia="宋体" w:hAnsi="宋体" w:cs="宋体"/>
          <w:kern w:val="0"/>
          <w:sz w:val="24"/>
          <w14:ligatures w14:val="none"/>
        </w:rPr>
      </w:pPr>
      <w:r w:rsidRPr="0094402A">
        <w:rPr>
          <w:rFonts w:ascii="宋体" w:eastAsia="宋体" w:hAnsi="宋体" w:cs="宋体"/>
          <w:kern w:val="0"/>
          <w:sz w:val="24"/>
          <w14:ligatures w14:val="none"/>
        </w:rPr>
        <w:t>现货市场进一步放大了这种分时约束。湖南现货市场以日前和实时市场为核心，运行日按15分钟划分为96个出清时段，价格随负荷变化、机组出力、网络约束和新能源波动动态调整。对售电公司而言，中长期合约提供的是成本底仓，现货市场处理的则是实际负荷与合同曲线之间的偏差以及短时波动带来的边际风险。换言之，中长期与现货并不是替代关系，而是共同构成售电公司购电组合的两个层面。辅助服务与现货之间也存在明确分工：现货运行期间不再单独开展省内调峰辅助服务交易，调频辅助服务市场则仍与现货市场分开组织，中标机组需要预留调节容量后再进入现货出清。这一安排意味着，现货价格不仅反映电能量供需，也受到系统调节机制和容量预留约束的影响。</w:t>
      </w:r>
    </w:p>
    <w:p w:rsidR="0094402A" w:rsidRPr="0094402A" w:rsidRDefault="0094402A" w:rsidP="0094402A">
      <w:pPr>
        <w:widowControl/>
        <w:spacing w:before="100" w:beforeAutospacing="1" w:after="100" w:afterAutospacing="1" w:line="240" w:lineRule="auto"/>
        <w:rPr>
          <w:rFonts w:ascii="宋体" w:eastAsia="宋体" w:hAnsi="宋体" w:cs="宋体"/>
          <w:kern w:val="0"/>
          <w:sz w:val="24"/>
          <w14:ligatures w14:val="none"/>
        </w:rPr>
      </w:pPr>
      <w:r w:rsidRPr="0094402A">
        <w:rPr>
          <w:rFonts w:ascii="宋体" w:eastAsia="宋体" w:hAnsi="宋体" w:cs="宋体"/>
          <w:kern w:val="0"/>
          <w:sz w:val="24"/>
          <w14:ligatures w14:val="none"/>
        </w:rPr>
        <w:t>零售市场则把批发购电结果传导至用户侧。湖南零售市场主要通过零售套餐组织交易，零售用户在同一合同周期内只能选择一家售电公司购电，售电公司需要围绕用户负荷特征设计套餐、签订合同并完成零售结算。因此，售电公司的中长期持仓并不是脱离用户需求独立存在的头寸，而是建立在签约用户负荷、零售价格安排和履约责任基础上的经营性配置。本文之所以将中长期持仓调整与现货对冲放在同一框架中讨论，正是因为批发市场、现货市场与零售市场在制度上已经形成了连续的价格传导链条。</w:t>
      </w:r>
    </w:p>
    <w:p w:rsidR="0094402A" w:rsidRPr="0094402A" w:rsidRDefault="0094402A" w:rsidP="0094402A">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94402A">
        <w:rPr>
          <w:rFonts w:ascii="宋体" w:eastAsia="宋体" w:hAnsi="宋体" w:cs="宋体"/>
          <w:b/>
          <w:bCs/>
          <w:kern w:val="0"/>
          <w:sz w:val="27"/>
          <w:szCs w:val="27"/>
          <w14:ligatures w14:val="none"/>
        </w:rPr>
        <w:lastRenderedPageBreak/>
        <w:t>2.3 售电公司收益构成与经营链条</w:t>
      </w:r>
    </w:p>
    <w:p w:rsidR="0094402A" w:rsidRPr="0094402A" w:rsidRDefault="0094402A" w:rsidP="0094402A">
      <w:pPr>
        <w:widowControl/>
        <w:spacing w:before="100" w:beforeAutospacing="1" w:after="100" w:afterAutospacing="1" w:line="240" w:lineRule="auto"/>
        <w:rPr>
          <w:rFonts w:ascii="宋体" w:eastAsia="宋体" w:hAnsi="宋体" w:cs="宋体"/>
          <w:kern w:val="0"/>
          <w:sz w:val="24"/>
          <w14:ligatures w14:val="none"/>
        </w:rPr>
      </w:pPr>
      <w:r w:rsidRPr="0094402A">
        <w:rPr>
          <w:rFonts w:ascii="宋体" w:eastAsia="宋体" w:hAnsi="宋体" w:cs="宋体"/>
          <w:kern w:val="0"/>
          <w:sz w:val="24"/>
          <w14:ligatures w14:val="none"/>
        </w:rPr>
        <w:t>在湖南电力市场中，售电公司的收益不是简单的合同价差，而是一个由签约用户、预测需求、组织购电到完成结算逐步实现的过程。其基本经营链条可以概括为：先在零售侧签约用户并形成未来用电需求预期，再根据用户负荷曲线参与中长期购电，在实际运行中结合负荷偏差进入现货市场进行补充或调整，最后依据交易和结算规则完成电费清算。由此形成的经营结果，既取决于零售合同收入，也取决于中长期购电成本、现货补购成本以及偏差控制水平。</w:t>
      </w:r>
    </w:p>
    <w:p w:rsidR="0094402A" w:rsidRPr="0094402A" w:rsidRDefault="0094402A" w:rsidP="0094402A">
      <w:pPr>
        <w:widowControl/>
        <w:spacing w:before="100" w:beforeAutospacing="1" w:after="100" w:afterAutospacing="1" w:line="240" w:lineRule="auto"/>
        <w:rPr>
          <w:rFonts w:ascii="宋体" w:eastAsia="宋体" w:hAnsi="宋体" w:cs="宋体"/>
          <w:kern w:val="0"/>
          <w:sz w:val="24"/>
          <w14:ligatures w14:val="none"/>
        </w:rPr>
      </w:pPr>
      <w:r w:rsidRPr="0094402A">
        <w:rPr>
          <w:rFonts w:ascii="宋体" w:eastAsia="宋体" w:hAnsi="宋体" w:cs="宋体"/>
          <w:kern w:val="0"/>
          <w:sz w:val="24"/>
          <w14:ligatures w14:val="none"/>
        </w:rPr>
        <w:t>从收益实现条件看，售电公司不仅要完成购售电合同管理，还要按规则向市场运营机构提供签约零售用户的电力电量需求、典型负荷曲线等信息，并承担履约保函、信息披露和按时结算等义务。计量规则进一步要求相关主体具备分时计量、数据采集和数据传输能力，交易和结算以准确的电量数据为基础展开。这意味着售电公司的利润并不只由价格水平决定，还受到负荷管理能力、数据质量和履约能力的共同影响。中长期配置合理时，合约能够稳定成本；当预测偏差扩大或高价时段合同不足时，现货补购又会迅速抬升边际成本，原有合同优势随之被削弱。</w:t>
      </w:r>
    </w:p>
    <w:p w:rsidR="0094402A" w:rsidRPr="0094402A" w:rsidRDefault="0094402A" w:rsidP="0094402A">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94402A">
        <w:rPr>
          <w:rFonts w:ascii="宋体" w:eastAsia="宋体" w:hAnsi="宋体" w:cs="宋体"/>
          <w:b/>
          <w:bCs/>
          <w:kern w:val="0"/>
          <w:sz w:val="27"/>
          <w:szCs w:val="27"/>
          <w14:ligatures w14:val="none"/>
        </w:rPr>
        <w:t>2.4 主要风险来源及其传导机制</w:t>
      </w:r>
    </w:p>
    <w:p w:rsidR="0094402A" w:rsidRPr="0094402A" w:rsidRDefault="0094402A" w:rsidP="0094402A">
      <w:pPr>
        <w:widowControl/>
        <w:spacing w:before="100" w:beforeAutospacing="1" w:after="100" w:afterAutospacing="1" w:line="240" w:lineRule="auto"/>
        <w:rPr>
          <w:rFonts w:ascii="宋体" w:eastAsia="宋体" w:hAnsi="宋体" w:cs="宋体"/>
          <w:kern w:val="0"/>
          <w:sz w:val="24"/>
          <w14:ligatures w14:val="none"/>
        </w:rPr>
      </w:pPr>
      <w:r w:rsidRPr="0094402A">
        <w:rPr>
          <w:rFonts w:ascii="宋体" w:eastAsia="宋体" w:hAnsi="宋体" w:cs="宋体"/>
          <w:kern w:val="0"/>
          <w:sz w:val="24"/>
          <w14:ligatures w14:val="none"/>
        </w:rPr>
        <w:t>结合本文的研究设定，售电公司面临的核心风险主要包括实时电价波动风险、负荷预测偏差风险和可再生能源出力不确定性风险。其中，实时电价波动风险最为直接。在全电量现货竞价和分时结算框架下，只要实际需求与中长期合同曲线之间存在缺口，相应电量就会暴露在实时价格之下。湖南现货市场按15分钟连续出清，并设置价格限值和风险防控机制，这意味着价格虽然受到制度约束，但在供需偏紧、系统约束增强或新能源波动加大的时段，购电成本仍可能出现明显上升。</w:t>
      </w:r>
    </w:p>
    <w:p w:rsidR="0094402A" w:rsidRPr="0094402A" w:rsidRDefault="0094402A" w:rsidP="0094402A">
      <w:pPr>
        <w:widowControl/>
        <w:spacing w:before="100" w:beforeAutospacing="1" w:after="100" w:afterAutospacing="1" w:line="240" w:lineRule="auto"/>
        <w:rPr>
          <w:rFonts w:ascii="宋体" w:eastAsia="宋体" w:hAnsi="宋体" w:cs="宋体"/>
          <w:kern w:val="0"/>
          <w:sz w:val="24"/>
          <w14:ligatures w14:val="none"/>
        </w:rPr>
      </w:pPr>
      <w:r w:rsidRPr="0094402A">
        <w:rPr>
          <w:rFonts w:ascii="宋体" w:eastAsia="宋体" w:hAnsi="宋体" w:cs="宋体"/>
          <w:kern w:val="0"/>
          <w:sz w:val="24"/>
          <w14:ligatures w14:val="none"/>
        </w:rPr>
        <w:t>负荷预测偏差风险则是价格风险放大的关键中介。售电公司在签订零售合同和配置中长期电量时，需要根据历史负荷、生产节奏、节假日和气象条件对未来需求进行判断，但工业负荷波动、临时停复产和天气变化都可能使实际用电偏离预测值。一旦偏差出现，原本看似合理的合同持仓就会转化为现货敞口：预测偏低时需要高价补购，预测偏高时又会降低配置效率，进而影响收益稳定性。因此，负荷偏差并非单纯的数据误差，而是连接合同配置与现货风险暴露的重要环节。</w:t>
      </w:r>
    </w:p>
    <w:p w:rsidR="0094402A" w:rsidRPr="0094402A" w:rsidRDefault="0094402A" w:rsidP="0094402A">
      <w:pPr>
        <w:widowControl/>
        <w:spacing w:before="100" w:beforeAutospacing="1" w:after="100" w:afterAutospacing="1" w:line="240" w:lineRule="auto"/>
        <w:rPr>
          <w:rFonts w:ascii="宋体" w:eastAsia="宋体" w:hAnsi="宋体" w:cs="宋体"/>
          <w:kern w:val="0"/>
          <w:sz w:val="24"/>
          <w14:ligatures w14:val="none"/>
        </w:rPr>
      </w:pPr>
      <w:r w:rsidRPr="0094402A">
        <w:rPr>
          <w:rFonts w:ascii="宋体" w:eastAsia="宋体" w:hAnsi="宋体" w:cs="宋体"/>
          <w:kern w:val="0"/>
          <w:sz w:val="24"/>
          <w14:ligatures w14:val="none"/>
        </w:rPr>
        <w:t>可再生能源出力不确定性风险则主要通过价格形成机制间接传导至售电公司。2025年以后，新能源上网电量全面进入电力市场、通过市场交易形成价格，湖南也同步建立了新能源机制电价和竞价安排。这一变化并不直接改变售电公司的交易身份，但会通过系统边际供给变化、现货价格波动和新能源消纳约束影响其购电环境。尤其在高新能源占比时段，新能源预测偏差、系统调节压力和价格波动往往同时增强，售电公司的现货对冲成本也会随之变化。综合来看，售电公司的风险并不是若干变量的简单叠加，而是沿着“用户负荷变化—合同持仓偏离—现货价格暴露—结算结果波动”的路径逐层传导。基于这一逻辑，下一章将进一步把现货—合约价差、负荷误差、新能源波动和锁定比例等因素纳入统一建模框架。</w:t>
      </w:r>
    </w:p>
    <w:p w:rsidR="006366A5" w:rsidRPr="0094402A" w:rsidRDefault="006366A5" w:rsidP="0094402A">
      <w:pPr>
        <w:widowControl/>
        <w:spacing w:before="100" w:beforeAutospacing="1" w:after="100" w:afterAutospacing="1" w:line="240" w:lineRule="auto"/>
      </w:pPr>
    </w:p>
    <w:sectPr w:rsidR="006366A5" w:rsidRPr="0094402A" w:rsidSect="00D22126">
      <w:pgSz w:w="11906" w:h="16838"/>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E88"/>
    <w:rsid w:val="00060452"/>
    <w:rsid w:val="00116D5F"/>
    <w:rsid w:val="001E7832"/>
    <w:rsid w:val="00211E88"/>
    <w:rsid w:val="00446160"/>
    <w:rsid w:val="00543EAD"/>
    <w:rsid w:val="006366A5"/>
    <w:rsid w:val="0094402A"/>
    <w:rsid w:val="00A67762"/>
    <w:rsid w:val="00B71A45"/>
    <w:rsid w:val="00D22126"/>
    <w:rsid w:val="00D74129"/>
    <w:rsid w:val="00F81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05444C"/>
  <w15:chartTrackingRefBased/>
  <w15:docId w15:val="{4F0794C4-761D-C548-A3B1-7EA674064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1E8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11E8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11E8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1E8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1E8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1E8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1E8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1E8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1E8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1E8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11E8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11E8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1E88"/>
    <w:rPr>
      <w:rFonts w:cstheme="majorBidi"/>
      <w:color w:val="0F4761" w:themeColor="accent1" w:themeShade="BF"/>
      <w:sz w:val="28"/>
      <w:szCs w:val="28"/>
    </w:rPr>
  </w:style>
  <w:style w:type="character" w:customStyle="1" w:styleId="50">
    <w:name w:val="标题 5 字符"/>
    <w:basedOn w:val="a0"/>
    <w:link w:val="5"/>
    <w:uiPriority w:val="9"/>
    <w:semiHidden/>
    <w:rsid w:val="00211E88"/>
    <w:rPr>
      <w:rFonts w:cstheme="majorBidi"/>
      <w:color w:val="0F4761" w:themeColor="accent1" w:themeShade="BF"/>
      <w:sz w:val="24"/>
    </w:rPr>
  </w:style>
  <w:style w:type="character" w:customStyle="1" w:styleId="60">
    <w:name w:val="标题 6 字符"/>
    <w:basedOn w:val="a0"/>
    <w:link w:val="6"/>
    <w:uiPriority w:val="9"/>
    <w:semiHidden/>
    <w:rsid w:val="00211E88"/>
    <w:rPr>
      <w:rFonts w:cstheme="majorBidi"/>
      <w:b/>
      <w:bCs/>
      <w:color w:val="0F4761" w:themeColor="accent1" w:themeShade="BF"/>
    </w:rPr>
  </w:style>
  <w:style w:type="character" w:customStyle="1" w:styleId="70">
    <w:name w:val="标题 7 字符"/>
    <w:basedOn w:val="a0"/>
    <w:link w:val="7"/>
    <w:uiPriority w:val="9"/>
    <w:semiHidden/>
    <w:rsid w:val="00211E88"/>
    <w:rPr>
      <w:rFonts w:cstheme="majorBidi"/>
      <w:b/>
      <w:bCs/>
      <w:color w:val="595959" w:themeColor="text1" w:themeTint="A6"/>
    </w:rPr>
  </w:style>
  <w:style w:type="character" w:customStyle="1" w:styleId="80">
    <w:name w:val="标题 8 字符"/>
    <w:basedOn w:val="a0"/>
    <w:link w:val="8"/>
    <w:uiPriority w:val="9"/>
    <w:semiHidden/>
    <w:rsid w:val="00211E88"/>
    <w:rPr>
      <w:rFonts w:cstheme="majorBidi"/>
      <w:color w:val="595959" w:themeColor="text1" w:themeTint="A6"/>
    </w:rPr>
  </w:style>
  <w:style w:type="character" w:customStyle="1" w:styleId="90">
    <w:name w:val="标题 9 字符"/>
    <w:basedOn w:val="a0"/>
    <w:link w:val="9"/>
    <w:uiPriority w:val="9"/>
    <w:semiHidden/>
    <w:rsid w:val="00211E88"/>
    <w:rPr>
      <w:rFonts w:eastAsiaTheme="majorEastAsia" w:cstheme="majorBidi"/>
      <w:color w:val="595959" w:themeColor="text1" w:themeTint="A6"/>
    </w:rPr>
  </w:style>
  <w:style w:type="paragraph" w:styleId="a3">
    <w:name w:val="Title"/>
    <w:basedOn w:val="a"/>
    <w:next w:val="a"/>
    <w:link w:val="a4"/>
    <w:uiPriority w:val="10"/>
    <w:qFormat/>
    <w:rsid w:val="00211E8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1E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1E8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1E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1E88"/>
    <w:pPr>
      <w:spacing w:before="160"/>
      <w:jc w:val="center"/>
    </w:pPr>
    <w:rPr>
      <w:i/>
      <w:iCs/>
      <w:color w:val="404040" w:themeColor="text1" w:themeTint="BF"/>
    </w:rPr>
  </w:style>
  <w:style w:type="character" w:customStyle="1" w:styleId="a8">
    <w:name w:val="引用 字符"/>
    <w:basedOn w:val="a0"/>
    <w:link w:val="a7"/>
    <w:uiPriority w:val="29"/>
    <w:rsid w:val="00211E88"/>
    <w:rPr>
      <w:i/>
      <w:iCs/>
      <w:color w:val="404040" w:themeColor="text1" w:themeTint="BF"/>
    </w:rPr>
  </w:style>
  <w:style w:type="paragraph" w:styleId="a9">
    <w:name w:val="List Paragraph"/>
    <w:basedOn w:val="a"/>
    <w:uiPriority w:val="34"/>
    <w:qFormat/>
    <w:rsid w:val="00211E88"/>
    <w:pPr>
      <w:ind w:left="720"/>
      <w:contextualSpacing/>
    </w:pPr>
  </w:style>
  <w:style w:type="character" w:styleId="aa">
    <w:name w:val="Intense Emphasis"/>
    <w:basedOn w:val="a0"/>
    <w:uiPriority w:val="21"/>
    <w:qFormat/>
    <w:rsid w:val="00211E88"/>
    <w:rPr>
      <w:i/>
      <w:iCs/>
      <w:color w:val="0F4761" w:themeColor="accent1" w:themeShade="BF"/>
    </w:rPr>
  </w:style>
  <w:style w:type="paragraph" w:styleId="ab">
    <w:name w:val="Intense Quote"/>
    <w:basedOn w:val="a"/>
    <w:next w:val="a"/>
    <w:link w:val="ac"/>
    <w:uiPriority w:val="30"/>
    <w:qFormat/>
    <w:rsid w:val="00211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1E88"/>
    <w:rPr>
      <w:i/>
      <w:iCs/>
      <w:color w:val="0F4761" w:themeColor="accent1" w:themeShade="BF"/>
    </w:rPr>
  </w:style>
  <w:style w:type="character" w:styleId="ad">
    <w:name w:val="Intense Reference"/>
    <w:basedOn w:val="a0"/>
    <w:uiPriority w:val="32"/>
    <w:qFormat/>
    <w:rsid w:val="00211E88"/>
    <w:rPr>
      <w:b/>
      <w:bCs/>
      <w:smallCaps/>
      <w:color w:val="0F4761" w:themeColor="accent1" w:themeShade="BF"/>
      <w:spacing w:val="5"/>
    </w:rPr>
  </w:style>
  <w:style w:type="paragraph" w:customStyle="1" w:styleId="TitleCN">
    <w:name w:val="TitleCN"/>
    <w:rsid w:val="00D22126"/>
    <w:pPr>
      <w:spacing w:after="200" w:line="276" w:lineRule="auto"/>
    </w:pPr>
    <w:rPr>
      <w:rFonts w:ascii="Times New Roman" w:eastAsia="黑体" w:hAnsi="Times New Roman"/>
      <w:b/>
      <w:kern w:val="0"/>
      <w:sz w:val="32"/>
      <w:szCs w:val="22"/>
      <w:lang w:eastAsia="en-US"/>
      <w14:ligatures w14:val="none"/>
    </w:rPr>
  </w:style>
  <w:style w:type="paragraph" w:customStyle="1" w:styleId="Heading1CN">
    <w:name w:val="Heading1CN"/>
    <w:rsid w:val="00D22126"/>
    <w:pPr>
      <w:spacing w:after="200" w:line="276" w:lineRule="auto"/>
    </w:pPr>
    <w:rPr>
      <w:rFonts w:ascii="Times New Roman" w:eastAsia="黑体" w:hAnsi="Times New Roman"/>
      <w:b/>
      <w:kern w:val="0"/>
      <w:sz w:val="28"/>
      <w:szCs w:val="22"/>
      <w:lang w:eastAsia="en-US"/>
      <w14:ligatures w14:val="none"/>
    </w:rPr>
  </w:style>
  <w:style w:type="paragraph" w:customStyle="1" w:styleId="BodyCN">
    <w:name w:val="BodyCN"/>
    <w:rsid w:val="00D22126"/>
    <w:pPr>
      <w:spacing w:after="200" w:line="276" w:lineRule="auto"/>
    </w:pPr>
    <w:rPr>
      <w:rFonts w:ascii="Times New Roman" w:eastAsia="宋体" w:hAnsi="Times New Roman"/>
      <w:kern w:val="0"/>
      <w:sz w:val="24"/>
      <w:szCs w:val="22"/>
      <w:lang w:eastAsia="en-US"/>
      <w14:ligatures w14:val="none"/>
    </w:rPr>
  </w:style>
  <w:style w:type="paragraph" w:styleId="ae">
    <w:name w:val="Normal (Web)"/>
    <w:basedOn w:val="a"/>
    <w:uiPriority w:val="99"/>
    <w:semiHidden/>
    <w:unhideWhenUsed/>
    <w:rsid w:val="00B71A45"/>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696</Words>
  <Characters>3971</Characters>
  <Application>Microsoft Office Word</Application>
  <DocSecurity>0</DocSecurity>
  <Lines>33</Lines>
  <Paragraphs>9</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Xuanzhe Du</dc:creator>
  <cp:keywords/>
  <dc:description/>
  <cp:lastModifiedBy>Xuanzhe Du</cp:lastModifiedBy>
  <cp:revision>6</cp:revision>
  <dcterms:created xsi:type="dcterms:W3CDTF">2026-04-06T06:42:00Z</dcterms:created>
  <dcterms:modified xsi:type="dcterms:W3CDTF">2026-04-08T01:18:00Z</dcterms:modified>
</cp:coreProperties>
</file>