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sz w:val="36"/>
        </w:rPr>
        <w:t>湖南电力市场售电公司多时间尺度采购策略优化研究——基于双层混合粒子群搜索与政策可行域约束</w:t>
      </w:r>
    </w:p>
    <w:p>
      <w:pPr>
        <w:pStyle w:val="Heading2"/>
      </w:pPr>
      <w:r>
        <w:rPr>
          <w:rFonts w:ascii="Times New Roman" w:hAnsi="Times New Roman" w:eastAsia="宋体"/>
          <w:sz w:val="28"/>
        </w:rPr>
        <w:t>摘要</w:t>
      </w:r>
    </w:p>
    <w:p>
      <w:pPr>
        <w:spacing w:line="300" w:lineRule="auto"/>
        <w:ind w:firstLine="420"/>
      </w:pPr>
      <w:r>
        <w:rPr>
          <w:rFonts w:ascii="Times New Roman" w:hAnsi="Times New Roman" w:eastAsia="宋体"/>
          <w:sz w:val="22"/>
        </w:rPr>
        <w:t>随着全国统一电力市场体系建设推进，售电公司在批发侧和零售侧之间承担的风险管理职能更加突出。湖南电力市场研究期内同时出现中长期交易分时化、现货市场 15 分钟出清与代理结算、新能源机制电价执行以及年度中长期价格联动等制度变化，售电公司的购电决策已经难以用单一固定比例或经验规则解释。本文以湖南电力市场售电公司为研究对象，研究期限定为 2025-11-01 至 2026-03-20，围绕“周度中长期底仓决策、小时级现货边际风险对冲、15 分钟代理结算回测”构建多时间尺度采购策略优化框架。</w:t>
      </w:r>
    </w:p>
    <w:p>
      <w:pPr>
        <w:spacing w:line="300" w:lineRule="auto"/>
        <w:ind w:firstLine="420"/>
      </w:pPr>
      <w:r>
        <w:rPr>
          <w:rFonts w:ascii="Times New Roman" w:hAnsi="Times New Roman" w:eastAsia="宋体"/>
          <w:sz w:val="22"/>
        </w:rPr>
        <w:t>在模型层面，本文将中长期合约界定为结算和风险管理头寸，以上层周度决策确定相对 `dynamic_lock_only` 强基准的底仓残差、风险敞口带宽和 24 小时合约曲线；以下层小时级规则依据价差、负荷预测偏差、新能源扰动和制度收缩状态生成带符号现货净修正量；再将周度和小时级决策还原到 15 分钟代理结算层，计算采购成本、零售收入、利润、CVaR99、套保误差、交易摩擦和政策投影惩罚。政策规则按照发布时间和生效时间分别处理，形成政策文件清单、结构化规则表、制度状态轨迹和可行域边界，避免后期制度口径前移到不适用样本。</w:t>
      </w:r>
    </w:p>
    <w:p>
      <w:pPr>
        <w:spacing w:line="300" w:lineRule="auto"/>
        <w:ind w:firstLine="420"/>
      </w:pPr>
      <w:r>
        <w:rPr>
          <w:rFonts w:ascii="Times New Roman" w:hAnsi="Times New Roman" w:eastAsia="宋体"/>
          <w:sz w:val="22"/>
        </w:rPr>
        <w:t>在求解层面，项目当前正式版本为 `v0.50`，算法主线为 `HYBRID_PSO_V040`。实现链路由 `experiment_config.yaml` 统一驱动，经 `prepare_project_context()` 完成数据清洗、政策解析、可行域编译、参数布局和张量打包，再通过双层混合粒子群搜索优化上层 182 维和下层 48 维参数。实证结果显示，正式验证集累计收益为 -55,879,040 元，四个验证周相对强基准的超额收益均为负；滚动回测 10 个单周窗口的平均收益为 126,499,411.60 元，单周超额收益有 4 个窗口为正，但持续跑赢 `dynamic_lock_only` 的窗口数为 0。持出基准比较中，`static_no_spot_adjustment` 和 `simple_rolling_hedge` 在利润口径上高于 `dynamic_lock_only`，说明强基准和简单规则仍具有较强竞争力。当前小时级 `spot_hedge_mwh` 机制在代码中完整存在，但正式滚动结果 1632 条小时记录均未触发现货净修正。本文据此认为，当前实现完成了制度一致性、政策可行域和多时间尺度结算的可复现闭环；算法效果仍需在小时级信号激活、交易摩擦控制和强基准收益改善方面继续优化。</w:t>
      </w:r>
    </w:p>
    <w:p>
      <w:pPr>
        <w:spacing w:line="300" w:lineRule="auto"/>
        <w:ind w:firstLine="420"/>
      </w:pPr>
      <w:r>
        <w:rPr>
          <w:rFonts w:ascii="Times New Roman" w:hAnsi="Times New Roman" w:eastAsia="宋体"/>
          <w:sz w:val="22"/>
        </w:rPr>
        <w:t>关键词：售电公司；湖南电力市场；中长期合约；现货风险对冲；政策可行域；混合粒子群优化；CVaR</w:t>
      </w:r>
    </w:p>
    <w:p>
      <w:pPr>
        <w:pStyle w:val="Heading2"/>
      </w:pPr>
      <w:r>
        <w:rPr>
          <w:rFonts w:ascii="Times New Roman" w:hAnsi="Times New Roman" w:eastAsia="宋体"/>
          <w:sz w:val="28"/>
        </w:rPr>
        <w:t>Abstract</w:t>
      </w:r>
    </w:p>
    <w:p>
      <w:pPr>
        <w:spacing w:line="300" w:lineRule="auto"/>
        <w:ind w:firstLine="420"/>
      </w:pPr>
      <w:r>
        <w:rPr>
          <w:rFonts w:ascii="Times New Roman" w:hAnsi="Times New Roman" w:eastAsia="宋体"/>
          <w:sz w:val="22"/>
        </w:rPr>
        <w:t>With the development of China's unified electricity market, electricity retailers face increasing exposure to contract positions, spot prices, load deviations and regulatory transitions. Focusing on an electricity retailer in Hunan, this thesis studies the dry-season period from 2025-11-01 to 2026-03-20 and develops a multi-timescale procurement framework consisting of weekly medium- and long-term contract positioning, hourly spot marginal hedging and 15-minute proxy settlement backtesting.</w:t>
      </w:r>
    </w:p>
    <w:p>
      <w:pPr>
        <w:spacing w:line="300" w:lineRule="auto"/>
        <w:ind w:firstLine="420"/>
      </w:pPr>
      <w:r>
        <w:rPr>
          <w:rFonts w:ascii="Times New Roman" w:hAnsi="Times New Roman" w:eastAsia="宋体"/>
          <w:sz w:val="22"/>
        </w:rPr>
        <w:t>The model treats medium- and long-term contracts as settlement and risk-management positions rather than physical dispatch schedules. At the weekly level, the strategy determines residual contract adjustment relative to the strong baseline `dynamic_lock_only`, exposure bandwidth and a 24-hour contract curve. At the hourly level, signed spot net adjustments are generated from price spreads, load forecast errors, renewable disturbances and policy shrinkage states. The resulting decisions are mapped to a 15-minute settlement layer to evaluate procurement cost, retail revenue, profit, CVaR99, hedge error, friction cost and policy projection penalties. Policy rules are incorporated according to effective dates, and transformed into file inventories, structured rule tables, policy state traces and feasible-domain boundaries.</w:t>
      </w:r>
    </w:p>
    <w:p>
      <w:pPr>
        <w:spacing w:line="300" w:lineRule="auto"/>
        <w:ind w:firstLine="420"/>
      </w:pPr>
      <w:r>
        <w:rPr>
          <w:rFonts w:ascii="Times New Roman" w:hAnsi="Times New Roman" w:eastAsia="宋体"/>
          <w:sz w:val="22"/>
        </w:rPr>
        <w:t>The implementation evidence is taken from the current formal project version `v0.50`. The algorithm is `HYBRID_PSO_V040`, with 182 upper-level parameters and 48 lower-level parameters generated by the compiled parameter layout. The formal validation set reports a total profit of -55,879,040 yuan, and all four validation weeks underperform the strong baseline. Rolling backtests over ten single-week windows report an average profit of 126,499,411.60 yuan. Four windows show positive single-week excess returns, while no window passes the persistence criterion against `dynamic_lock_only`. The benchmark table further shows that simple static and rolling rules remain competitive. The hourly `spot_hedge_mwh` channel is implemented, but the formal rolling output records zero net spot adjustments across 1,632 hourly records. The results support the feasibility of the proposed evidence chain and policy-constrained settlement framework, while also revealing limitations in strong-baseline improvement and hourly hedge activation.</w:t>
      </w:r>
    </w:p>
    <w:p>
      <w:pPr>
        <w:spacing w:line="300" w:lineRule="auto"/>
        <w:ind w:firstLine="420"/>
      </w:pPr>
      <w:r>
        <w:rPr>
          <w:rFonts w:ascii="Times New Roman" w:hAnsi="Times New Roman" w:eastAsia="宋体"/>
          <w:sz w:val="22"/>
        </w:rPr>
        <w:t>Key words: electricity retailer; Hunan electricity market; medium- and long-term contract; spot risk hedging; policy feasible domain; hybrid particle swarm optimization; CVaR</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第一章 绪论</w:t>
      </w:r>
    </w:p>
    <w:p>
      <w:pPr>
        <w:pStyle w:val="Heading2"/>
      </w:pPr>
      <w:r>
        <w:rPr>
          <w:rFonts w:ascii="Times New Roman" w:hAnsi="Times New Roman" w:eastAsia="宋体"/>
          <w:sz w:val="28"/>
        </w:rPr>
        <w:t>1.1 研究背景与问题提出</w:t>
      </w:r>
    </w:p>
    <w:p>
      <w:pPr>
        <w:spacing w:line="300" w:lineRule="auto"/>
        <w:ind w:firstLine="420"/>
      </w:pPr>
      <w:r>
        <w:rPr>
          <w:rFonts w:ascii="Times New Roman" w:hAnsi="Times New Roman" w:eastAsia="宋体"/>
          <w:sz w:val="22"/>
        </w:rPr>
        <w:t>电力市场化改革推动电力交易从计划性配置逐步走向中长期合约、现货交易、辅助服务和零售套餐协同运行的市场结构。现货市场通过分时价格反映系统供需和边际成本，中长期交易通过合同价格和分时曲线稳定市场主体的预期收益，两类机制共同影响售电公司的采购成本和风险暴露。已有关于差价合约和中长期电量分解的研究表明，中长期合约更适合被理解为价格锁定和风险对冲工具，而非机组或用户侧的物理执行计划[1][4]。这一判断对湖南市场尤为重要，因为研究期内湖南现货规则强调中长期合约作为结算依据，现货市场承担全电量集中竞价和价格发现职能。</w:t>
      </w:r>
    </w:p>
    <w:p>
      <w:pPr>
        <w:spacing w:line="300" w:lineRule="auto"/>
        <w:ind w:firstLine="420"/>
      </w:pPr>
      <w:r>
        <w:rPr>
          <w:rFonts w:ascii="Times New Roman" w:hAnsi="Times New Roman" w:eastAsia="宋体"/>
          <w:sz w:val="22"/>
        </w:rPr>
        <w:t>售电公司处在批发市场和零售用户之间，经营结果取决于购电成本、用户负荷曲线、合同头寸、偏差结算和制度边界。电力零售业务研究指出，售电公司核心业务包含负荷预测、批发购电、零售合同设计和风险管理[2]；购售电风险研究进一步说明，价格风险、数量风险和合同风险会共同影响收益稳定性[14][15]。在现货市场推进和新能源出力波动增强的背景下，售电公司面对的风险不再只是某一时段电价偏高，还包括合同覆盖率与实际负荷之间的偏差、日前与日内价格之间的价差、机制电价执行时点变化以及辅助服务耦合状态对交易空间的收缩。</w:t>
      </w:r>
    </w:p>
    <w:p>
      <w:pPr>
        <w:spacing w:line="300" w:lineRule="auto"/>
        <w:ind w:firstLine="420"/>
      </w:pPr>
      <w:r>
        <w:rPr>
          <w:rFonts w:ascii="Times New Roman" w:hAnsi="Times New Roman" w:eastAsia="宋体"/>
          <w:sz w:val="22"/>
        </w:rPr>
        <w:t>本文将研究窗口设定为 2025-11-01 至 2026-03-20。该窗口覆盖湖南枯水期经营场景，也覆盖新能源机制电价自 2026-01-01 进入执行期和 2026 年度中长期价格机制自 2026-02-01 进入模型口径的关键阶段。项目配置文件 `experiment_config.yaml` 中 `data.sample_start`、`data.sample_end` 分别为上述起止时间，正式输出 `outputs/v0.50/reports/v0.50_human_report.md` 也记录了同一数据范围。由此，论文的经验分析可以严格绑定到当前项目实现，而不依赖外部补写结果。</w:t>
      </w:r>
    </w:p>
    <w:p>
      <w:pPr>
        <w:spacing w:line="300" w:lineRule="auto"/>
        <w:ind w:firstLine="420"/>
      </w:pPr>
      <w:r>
        <w:rPr>
          <w:rFonts w:ascii="Times New Roman" w:hAnsi="Times New Roman" w:eastAsia="宋体"/>
          <w:sz w:val="22"/>
        </w:rPr>
        <w:t>围绕上述背景，本文将问题收束为：在湖南电力市场中，中长期合约作为结算性风险管理工具、现货市场承担边际价格形成职能、政策规则存在明确生效时点的条件下，售电公司应如何在周度中长期底仓、小时级现货边际修正和 15 分钟代理结算之间形成可解释、可复核的采购策略。这个问题既具有市场机制含义，也具有工程实现含义。若缺少制度时点标签，回测容易把未来规则提前用于历史样本；若缺少强基准，算法改进可能只是战胜弱对照；若缺少 15 分钟结算层，小时级策略难以评价真实成本、尾部风险和套保误差。</w:t>
      </w:r>
    </w:p>
    <w:p>
      <w:pPr>
        <w:spacing w:line="300" w:lineRule="auto"/>
        <w:ind w:firstLine="420"/>
      </w:pPr>
      <w:r>
        <w:rPr>
          <w:rFonts w:ascii="Times New Roman" w:hAnsi="Times New Roman" w:eastAsia="宋体"/>
          <w:sz w:val="22"/>
        </w:rPr>
        <w:t>本章项目证据主要来自 `AGENTS.md`、`experiment_config.yaml`、`README.md`、`outputs/v0.50/reports/v0.50_human_report.md` 和 `参考文献/111.html`。这些材料共同限定了研究主体、研究期、模型边界、正式版本和参考文献范围。</w:t>
      </w:r>
    </w:p>
    <w:p>
      <w:pPr>
        <w:pStyle w:val="Heading2"/>
      </w:pPr>
      <w:r>
        <w:rPr>
          <w:rFonts w:ascii="Times New Roman" w:hAnsi="Times New Roman" w:eastAsia="宋体"/>
          <w:sz w:val="28"/>
        </w:rPr>
        <w:t>1.2 研究意义与研究对象界定</w:t>
      </w:r>
    </w:p>
    <w:p>
      <w:pPr>
        <w:spacing w:line="300" w:lineRule="auto"/>
        <w:ind w:firstLine="420"/>
      </w:pPr>
      <w:r>
        <w:rPr>
          <w:rFonts w:ascii="Times New Roman" w:hAnsi="Times New Roman" w:eastAsia="宋体"/>
          <w:sz w:val="22"/>
        </w:rPr>
        <w:t>从理论意义看，本文把售电公司采购策略从静态合约比例问题推进到多时间尺度主动管理问题。已有电力市场衔接研究更多讨论市场机制设计、差价合约、分时电量分解和现货规则协调[1][4][13][17]，售电公司研究则集中于购售电业务模式、风险评估、零售套餐和组合优化[9][10][14][15]。本文在这些基础上引入三个层次的统一表达：周度中长期底仓决定风险管理基础，小时级现货修正决定短期边际响应，15 分钟代理结算决定成本和风险的最终评价口径。这样的组织方式使市场规则、策略动作和回测指标之间形成连续链条。</w:t>
      </w:r>
    </w:p>
    <w:p>
      <w:pPr>
        <w:spacing w:line="300" w:lineRule="auto"/>
        <w:ind w:firstLine="420"/>
      </w:pPr>
      <w:r>
        <w:rPr>
          <w:rFonts w:ascii="Times New Roman" w:hAnsi="Times New Roman" w:eastAsia="宋体"/>
          <w:sz w:val="22"/>
        </w:rPr>
        <w:t>从现实意义看，售电公司需要在用户侧负荷不确定和批发侧价格波动之间维持经营稳定。湖南市场研究期内的制度安排使这一问题更具代表性：中长期交易需要按 24 小时曲线管理，日前和日内现货价格以 96 个 15 分钟时段进入结算，零售侧用户同一合同周期内只能对应一家售电公司和一个结算套餐。项目正式产物 `outputs/v0.50/raw/metrics/market_rule_constraints.csv` 将这些制度口径整理为八类约束，其中包括 `lt_contract_settlement_only`、`lt_24_period_contract_curve`、`spot_15min_96_settlement`、`retail_single_supplier_package`、`renewable_mechanism_from_2026_01_01` 和 `lt_price_linkage_from_2026_02_01`。论文将这些约束作为模型边界，而非只作为背景说明。</w:t>
      </w:r>
    </w:p>
    <w:p>
      <w:pPr>
        <w:spacing w:line="300" w:lineRule="auto"/>
        <w:ind w:firstLine="420"/>
      </w:pPr>
      <w:r>
        <w:rPr>
          <w:rFonts w:ascii="Times New Roman" w:hAnsi="Times New Roman" w:eastAsia="宋体"/>
          <w:sz w:val="22"/>
        </w:rPr>
        <w:t>本文研究对象固定为湖南电力市场售电公司，研究主体不扩展到发电侧、新能源场站、电网调度或储能独立优化。市场范围限于中长期电能量交易、日前现货市场、日内或实时现货代理结算以及零售收入边界。辅助服务、需求响应、金融输电权、虚拟投标和调频容量收益不进入主策略收益函数。辅助服务相关政策仅用于解释小时级带宽收缩和制度状态，不作为独立收益来源。这样的边界处理与 `docs/CONSTRAINTS.md` 中的当前约束一致，也能减少论文从售电公司采购策略滑向泛化能源系统优化的风险。</w:t>
      </w:r>
    </w:p>
    <w:p>
      <w:pPr>
        <w:pStyle w:val="Heading2"/>
      </w:pPr>
      <w:r>
        <w:rPr>
          <w:rFonts w:ascii="Times New Roman" w:hAnsi="Times New Roman" w:eastAsia="宋体"/>
          <w:sz w:val="28"/>
        </w:rPr>
        <w:t>1.3 国内外研究现状与评述</w:t>
      </w:r>
    </w:p>
    <w:p>
      <w:pPr>
        <w:spacing w:line="300" w:lineRule="auto"/>
        <w:ind w:firstLine="420"/>
      </w:pPr>
      <w:r>
        <w:rPr>
          <w:rFonts w:ascii="Times New Roman" w:hAnsi="Times New Roman" w:eastAsia="宋体"/>
          <w:sz w:val="22"/>
        </w:rPr>
        <w:t>第一类研究关注电力市场机制与中长期、现货交易衔接。差价合约机制设计研究指出，差价合约能够帮助市场主体锁定价格并缓释现货波动[1]。电力市场环境下的差价合约电量分解研究进一步说明，合同电量需要按照市场结算和分时曲线进行分解[4]。国内现货市场建设研究和国外现货市场经验研究则表明，现货市场通过分时价格承担价格发现功能，同时需要与中长期合约、辅助服务和零售机制保持协调[6][7][12][17]。这些文献为本文把中长期合约视为结算性头寸、把现货价格视为边际风险来源提供了基础。</w:t>
      </w:r>
    </w:p>
    <w:p>
      <w:pPr>
        <w:spacing w:line="300" w:lineRule="auto"/>
        <w:ind w:firstLine="420"/>
      </w:pPr>
      <w:r>
        <w:rPr>
          <w:rFonts w:ascii="Times New Roman" w:hAnsi="Times New Roman" w:eastAsia="宋体"/>
          <w:sz w:val="22"/>
        </w:rPr>
        <w:t>第二类研究聚焦售电公司购售电决策与风险管理。电力零售核心业务研究把售电公司经营拆分为需求预测、批发购电、零售合同和风险控制等环节[2]；新电改背景下的售电公司研究强调购售电路径、经营模式和风险评估的重要性[14][15][16]。考虑用户需求响应的双层模型、两级市场下多类型零售套餐模型和平衡市场优化交易策略均说明，售电公司决策具有多主体、多约束和收益风险权衡特征[8][9][10][19]。国外关于电力零售商合同组合和套期保值的研究同样强调价格风险、负荷风险和风险偏好之间的联动[23][25][28]。</w:t>
      </w:r>
    </w:p>
    <w:p>
      <w:pPr>
        <w:spacing w:line="300" w:lineRule="auto"/>
        <w:ind w:firstLine="420"/>
      </w:pPr>
      <w:r>
        <w:rPr>
          <w:rFonts w:ascii="Times New Roman" w:hAnsi="Times New Roman" w:eastAsia="宋体"/>
          <w:sz w:val="22"/>
        </w:rPr>
        <w:t>第三类研究讨论新能源市场化扰动和价格风险。高比例可再生能源会改变现货市场的出清结构、价格波动和灵活性需求[5][11][18]；绿电、绿证和碳市场协同研究则说明新能源市场化会通过价格信号和政策预期影响市场主体决策[3][20]。本文并不把新能源场站作为独立优化对象，而是把新能源扰动作为售电公司现货风险和政策状态的一部分。项目实现中，`renewable_mechanism_active`、`mechanism_price_floor`、`mechanism_price_ceiling`、`mechanism_volume_ratio_max` 等字段进入特征和政策状态，相关字段可在 `outputs/v0.50/raw/metadata/compiled_parameter_layout.json` 与 `outputs/v0.50/raw/metrics/feature_manifest.csv` 中核对。</w:t>
      </w:r>
    </w:p>
    <w:p>
      <w:pPr>
        <w:spacing w:line="300" w:lineRule="auto"/>
        <w:ind w:firstLine="420"/>
      </w:pPr>
      <w:r>
        <w:rPr>
          <w:rFonts w:ascii="Times New Roman" w:hAnsi="Times New Roman" w:eastAsia="宋体"/>
          <w:sz w:val="22"/>
        </w:rPr>
        <w:t>第四类研究涉及 PSO/HPSO、约束优化和策略搜索。经典粒子群优化通过粒子位置、速度、个体最优和群体最优实现连续空间搜索[26][30]，其惯性权重、收缩因子和变体已在电力系统优化中形成较多应用[27]。约束处理研究则指出，复杂可行域中的策略优化需要处理边界、惩罚、可行性优先和投影等问题[21][31]。售电公司多市场购售电研究已将改进粒子群与 CVaR 风险度量结合起来[10]。本文当前项目实现选择 `HYBRID_PSO_V040`，主要原因是样本期较短、政策约束密集、结果需要审计，双层参数搜索能够在离线环境下清晰记录每组策略的收益、风险和投影状态。</w:t>
      </w:r>
    </w:p>
    <w:p>
      <w:pPr>
        <w:spacing w:line="300" w:lineRule="auto"/>
        <w:ind w:firstLine="420"/>
      </w:pPr>
      <w:r>
        <w:rPr>
          <w:rFonts w:ascii="Times New Roman" w:hAnsi="Times New Roman" w:eastAsia="宋体"/>
          <w:sz w:val="22"/>
        </w:rPr>
        <w:t>第五类研究关注尾部风险评价。Artzner 等提出的一致性风险度量为金融和电力组合风险提供了理论基础[22]，Rockafellar 和 Uryasev 对 CVaR 优化的研究为尾部损失建模提供了可操作形式[24]。电力市场风险管理综述指出，价格尖峰、负荷偏差和市场机制变化会共同影响风险评估[29]。本文将 CVaR99 与套保误差、交易摩擦、政策投影惩罚放入统一奖励函数，使算法结果不只受绝对利润驱动。</w:t>
      </w:r>
    </w:p>
    <w:p>
      <w:pPr>
        <w:spacing w:line="300" w:lineRule="auto"/>
        <w:ind w:firstLine="420"/>
      </w:pPr>
      <w:r>
        <w:rPr>
          <w:rFonts w:ascii="Times New Roman" w:hAnsi="Times New Roman" w:eastAsia="宋体"/>
          <w:sz w:val="22"/>
        </w:rPr>
        <w:t>综合来看，现有文献为本文提供了充分基础，但仍有三个不足需要回应：其一，地方市场制度的发布时间、生效时间和样本区间之间的关系在模型中经常处理不足；其二，售电公司周度合约头寸、小时级边际响应和 15 分钟结算结果之间缺少统一表达；其三，部分算法研究强调收益结果，对强基准、消融、稳健性和政策可执行性的解释不够充分。本文据此把上述三个问题放入湖南售电公司采购策略框架中，通过代码、配置和正式输出产物建立可复核证据链。</w:t>
      </w:r>
    </w:p>
    <w:p>
      <w:pPr>
        <w:pStyle w:val="Heading2"/>
      </w:pPr>
      <w:r>
        <w:rPr>
          <w:rFonts w:ascii="Times New Roman" w:hAnsi="Times New Roman" w:eastAsia="宋体"/>
          <w:sz w:val="28"/>
        </w:rPr>
        <w:t>1.4 研究内容、研究方法与技术路线</w:t>
      </w:r>
    </w:p>
    <w:p>
      <w:pPr>
        <w:spacing w:line="300" w:lineRule="auto"/>
        <w:ind w:firstLine="420"/>
      </w:pPr>
      <w:r>
        <w:rPr>
          <w:rFonts w:ascii="Times New Roman" w:hAnsi="Times New Roman" w:eastAsia="宋体"/>
          <w:sz w:val="22"/>
        </w:rPr>
        <w:t>本文研究内容包括四个方面。第一，梳理湖南电力市场研究期内与售电公司采购策略相关的制度规则，区分政策发布时间和生效时间，形成制度状态和可行域边界。第二，构建周度中长期底仓、小时级现货边际修正和 15 分钟代理结算相衔接的数学模型。第三，使用双层混合粒子群搜索优化策略参数，并保留 `dynamic_lock_only`、固定持仓、无现货修正和简单滚动对冲等基准。第四，根据 `outputs/v0.50/` 的正式结果开展验证集、滚动回测、基准比较、消融和稳健性分析。</w:t>
      </w:r>
    </w:p>
    <w:p>
      <w:pPr>
        <w:spacing w:line="300" w:lineRule="auto"/>
        <w:ind w:firstLine="420"/>
      </w:pPr>
      <w:r>
        <w:rPr>
          <w:rFonts w:ascii="Times New Roman" w:hAnsi="Times New Roman" w:eastAsia="宋体"/>
          <w:sz w:val="22"/>
        </w:rPr>
        <w:t>研究方法包括规范分析、文献综述、政策规则结构化、数学建模、参数化策略搜索和回测评价。规范分析用于界定售电公司主体、市场环节和制度时点；文献综述用于提炼中长期合约、现货风险、PSO 约束优化和 CVaR 评价的理论基础；数学建模用于表达状态、动作、约束、结算和奖励；项目实现则通过 `src.scripts.run_pipeline` 将配置、数据、政策、训练、验证、回测和报告串联起来。当前正式链路可在 `src/scripts/run_pipeline.py`、`src/scripts/common.py`、`src/scripts/train.py`、`src/scripts/evaluate.py`、`src/scripts/backtest.py` 中核对。</w:t>
      </w:r>
    </w:p>
    <w:p>
      <w:pPr>
        <w:spacing w:line="300" w:lineRule="auto"/>
        <w:ind w:firstLine="420"/>
      </w:pPr>
      <w:r>
        <w:rPr>
          <w:rFonts w:ascii="Times New Roman" w:hAnsi="Times New Roman" w:eastAsia="宋体"/>
          <w:sz w:val="22"/>
        </w:rPr>
        <w:t>全文共六章。第一章说明研究背景、文献基础和研究路线；第二章分析湖南电力市场制度基础和售电公司风险机理；第三章构建多时间尺度采购策略模型；第四章说明模型求解和实验设计；第五章依据 v0.50 正式结果展开实证分析；第六章归纳结论、管理启示和研究不足。</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第二章 理论基础与市场机制分析</w:t>
      </w:r>
    </w:p>
    <w:p>
      <w:pPr>
        <w:pStyle w:val="Heading2"/>
      </w:pPr>
      <w:r>
        <w:rPr>
          <w:rFonts w:ascii="Times New Roman" w:hAnsi="Times New Roman" w:eastAsia="宋体"/>
          <w:sz w:val="28"/>
        </w:rPr>
        <w:t>2.1 售电公司购售电业务与风险类型</w:t>
      </w:r>
    </w:p>
    <w:p>
      <w:pPr>
        <w:spacing w:line="300" w:lineRule="auto"/>
        <w:ind w:firstLine="420"/>
      </w:pPr>
      <w:r>
        <w:rPr>
          <w:rFonts w:ascii="Times New Roman" w:hAnsi="Times New Roman" w:eastAsia="宋体"/>
          <w:sz w:val="22"/>
        </w:rPr>
        <w:t>售电公司在市场化电力体系中连接批发交易和零售用户，其采购策略既要满足用户用电需求，又要控制批发侧价格波动和偏差结算风险。根据电力零售核心业务研究，售电公司的经营活动通常包括用户负荷预测、批发市场购电、零售合同设计、风险管理和结算管理[2]。在本文研究框架中，零售侧收入被设置为外生边界，`experiment_config.yaml` 中 `economics.retail_tariff_yuan_per_mwh` 为 430 元/MWh；售电公司可主动调整的是中长期底仓、风险带宽和现货边际修正，而非零售套餐本身。</w:t>
      </w:r>
    </w:p>
    <w:p>
      <w:pPr>
        <w:spacing w:line="300" w:lineRule="auto"/>
        <w:ind w:firstLine="420"/>
      </w:pPr>
      <w:r>
        <w:rPr>
          <w:rFonts w:ascii="Times New Roman" w:hAnsi="Times New Roman" w:eastAsia="宋体"/>
          <w:sz w:val="22"/>
        </w:rPr>
        <w:t>本文将售电公司的主要风险分为四类。第一是价格风险，来自日前、日内或实时代理价格的波动以及中长期有效价的变化。第二是数量风险，来自预测净负荷与实际净负荷之间的偏差。第三是曲线风险，来自周度中长期底仓向 24 小时曲线和 15 分钟结算点分解时的结构错配。第四是制度风险，来自新能源机制电价、年度中长期价格联动、辅助服务耦合和零售侧约束等规则变化。项目输出 `outputs/v0.50/raw/metrics/risk_factor_manifest.csv` 将这些风险具体化为现货价格波动、日前-实时价格跨期相关、负荷预测偏差、新能源出力波动和极端事件或制度扰动等因素。</w:t>
      </w:r>
    </w:p>
    <w:p>
      <w:pPr>
        <w:spacing w:line="300" w:lineRule="auto"/>
        <w:ind w:firstLine="420"/>
      </w:pPr>
      <w:r>
        <w:rPr>
          <w:rFonts w:ascii="Times New Roman" w:hAnsi="Times New Roman" w:eastAsia="宋体"/>
          <w:sz w:val="22"/>
        </w:rPr>
        <w:t>这些风险并非相互独立。例如，负荷预测偏差会改变合约覆盖率，进而影响实际暴露于现货价格的电量；新能源出力波动会改变日前与日内价格关系，同时影响系统调节压力；制度状态收紧会压缩现货修正带宽，即使模型识别出交易信号，也可能因可行域约束难以执行。因此，本文采用多时间尺度结构：周度层处理合约头寸和风险预算，小时层处理边际价格和负荷信号，15 分钟层处理结算成本和风险指标。</w:t>
      </w:r>
    </w:p>
    <w:p>
      <w:pPr>
        <w:pStyle w:val="Heading2"/>
      </w:pPr>
      <w:r>
        <w:rPr>
          <w:rFonts w:ascii="Times New Roman" w:hAnsi="Times New Roman" w:eastAsia="宋体"/>
          <w:sz w:val="28"/>
        </w:rPr>
        <w:t>2.2 中长期交易、现货市场与零售侧衔接机制</w:t>
      </w:r>
    </w:p>
    <w:p>
      <w:pPr>
        <w:spacing w:line="300" w:lineRule="auto"/>
        <w:ind w:firstLine="420"/>
      </w:pPr>
      <w:r>
        <w:rPr>
          <w:rFonts w:ascii="Times New Roman" w:hAnsi="Times New Roman" w:eastAsia="宋体"/>
          <w:sz w:val="22"/>
        </w:rPr>
        <w:t>湖南现货规则中，中长期合约结果用于结算和风险管理，现货交易按照全电量集中竞价形成价格信号。项目正式约束 `outputs/v0.50/raw/metrics/market_rule_constraints.csv` 中 `lt_contract_settlement_only` 明确记录了这一口径，模型映射到 `lt_settlement_base`、`spot_marginal_exposure`、`q_lt_hourly` 和 `lt_energy_15m` 等字段。论文因此不能把中长期合约写作售电公司物理执行计划，而应写作批发侧成本锁定和结算风险管理工具。</w:t>
      </w:r>
    </w:p>
    <w:p>
      <w:pPr>
        <w:spacing w:line="300" w:lineRule="auto"/>
        <w:ind w:firstLine="420"/>
      </w:pPr>
      <w:r>
        <w:rPr>
          <w:rFonts w:ascii="Times New Roman" w:hAnsi="Times New Roman" w:eastAsia="宋体"/>
          <w:sz w:val="22"/>
        </w:rPr>
        <w:t>中长期交易在项目中按每日 24 小时曲线处理。`lt_24_period_contract_curve` 约束对应 `src/backtest/materialize.py` 中周度底仓向小时曲线的物化过程，也对应 `src/training/score_kernel.py` 中 24 小时曲线权重 `pi_{w,h}` 的计算。日前和日内现货则通过 15 分钟代理结算层进入成本、收益和风险指标，`spot_15min_96_settlement` 对应 `settlement_interval_hours=0.25` 和每周最多 672 个 15 分钟点。这样处理能够兼容模型内部小时级决策和市场结算的 96 点粒度。</w:t>
      </w:r>
    </w:p>
    <w:p>
      <w:pPr>
        <w:spacing w:line="300" w:lineRule="auto"/>
        <w:ind w:firstLine="420"/>
      </w:pPr>
      <w:r>
        <w:rPr>
          <w:rFonts w:ascii="Times New Roman" w:hAnsi="Times New Roman" w:eastAsia="宋体"/>
          <w:sz w:val="22"/>
        </w:rPr>
        <w:t>零售侧约束体现为收益端边界。`retail_single_supplier_package` 记录同一合同周期内零售用户只能对应一家售电公司、同一结算周期仅可生效一个零售套餐。本文不把零售电价设计作为动作变量，零售收入按实际需求和外生零售电价计算。该处理使论文焦点集中在售电公司采购侧的成本、风险和头寸管理上，也避免把研究范围扩大为综合零售套餐优化。</w:t>
      </w:r>
    </w:p>
    <w:p>
      <w:pPr>
        <w:pStyle w:val="Heading2"/>
      </w:pPr>
      <w:r>
        <w:rPr>
          <w:rFonts w:ascii="Times New Roman" w:hAnsi="Times New Roman" w:eastAsia="宋体"/>
          <w:sz w:val="28"/>
        </w:rPr>
        <w:t>2.3 湖南电力市场运行规则及政策环境</w:t>
      </w:r>
    </w:p>
    <w:p>
      <w:pPr>
        <w:spacing w:line="300" w:lineRule="auto"/>
        <w:ind w:firstLine="420"/>
      </w:pPr>
      <w:r>
        <w:rPr>
          <w:rFonts w:ascii="Times New Roman" w:hAnsi="Times New Roman" w:eastAsia="宋体"/>
          <w:sz w:val="22"/>
        </w:rPr>
        <w:t>本文的制度分析以 `政策环境/` 中的本地政策文件为来源，政策文件和制度原文按制度来源单独说明，不并入学术参考文献编号。项目正式输出 `outputs/v0.50/raw/metrics/policy_file_inventory.csv` 记录 18 个政策文件，涉及电力中长期交易实施细则、现货市场交易实施细则、零售市场交易规则、计量实施规则、辅助服务市场建设、新能源机制电价和 2026 年中长期价格机制等内容。解析结果 `outputs/v0.50/raw/metrics/policy_parse_failures.csv` 为 0 条失败，说明当前版本中政策文件已经进入建模流程。</w:t>
      </w:r>
    </w:p>
    <w:p>
      <w:pPr>
        <w:spacing w:line="300" w:lineRule="auto"/>
        <w:ind w:firstLine="420"/>
      </w:pPr>
      <w:r>
        <w:rPr>
          <w:rFonts w:ascii="Times New Roman" w:hAnsi="Times New Roman" w:eastAsia="宋体"/>
          <w:sz w:val="22"/>
        </w:rPr>
        <w:t>制度时点是本文必须坚守的口径。新能源机制电价相关状态根据《关于2025年度新能源机制电价竞价工作有关事项的通知》自 2026-01-01 进入执行期，对应约束 `renewable_mechanism_from_2026_01_01`。2026 年度中长期合同“40% 固定价格 + 60% 灵活价格”口径自 2026 年 2 月份年度多月交易开始执行，项目按 2026-02-01 进入结算代理，对应约束 `lt_price_linkage_from_2026_02_01`。这两个时点在 `experiment_config.yaml` 与 `outputs/v0.50/raw/metrics/market_rule_constraints.csv` 中均可核验。</w:t>
      </w:r>
    </w:p>
    <w:p>
      <w:pPr>
        <w:spacing w:line="300" w:lineRule="auto"/>
        <w:ind w:firstLine="420"/>
      </w:pPr>
      <w:r>
        <w:rPr>
          <w:rFonts w:ascii="Times New Roman" w:hAnsi="Times New Roman" w:eastAsia="宋体"/>
          <w:sz w:val="22"/>
        </w:rPr>
        <w:t>项目没有把政策处理为简单事件哑变量。结构化规则表 `outputs/v0.50/raw/metrics/policy_rule_table.csv` 共 36 条规则，字段包含 `rule_id`、`policy_name`、`publish_time`、`effective_start`、`effective_end`、`rule_type`、`scope`、`state_group`、`state_name`、`state_value`、`source_file` 和 `note`。这些规则经 `src/policy_deep/regime_builder.py` 和 `src/policy/policy_regime.py` 转换为当前制度状态和四组前瞻制度状态，再进入周度特征、政策张量和可行域边界。</w:t>
      </w:r>
    </w:p>
    <w:p>
      <w:pPr>
        <w:pStyle w:val="Heading2"/>
      </w:pPr>
      <w:r>
        <w:rPr>
          <w:rFonts w:ascii="Times New Roman" w:hAnsi="Times New Roman" w:eastAsia="宋体"/>
          <w:sz w:val="28"/>
        </w:rPr>
        <w:t>2.4 政策约束向制度状态和可行域的转化逻辑</w:t>
      </w:r>
    </w:p>
    <w:p>
      <w:pPr>
        <w:spacing w:line="300" w:lineRule="auto"/>
        <w:ind w:firstLine="420"/>
      </w:pPr>
      <w:r>
        <w:rPr>
          <w:rFonts w:ascii="Times New Roman" w:hAnsi="Times New Roman" w:eastAsia="宋体"/>
          <w:sz w:val="22"/>
        </w:rPr>
        <w:t>政策规则进入模型后，需要从文本口径转换为可计算边界。项目中这一过程主要由 `src/policy/policy_parser.py`、`src/policy_deep/regime_builder.py`、`src/policy/market_constraints.py`、`src/policy/feasible_domain.py` 和 `src/policy/projection.py` 实现。政策解析负责生成文件清单、候选规则、人工复核规则和失败清单；制度状态生成负责把规则的生效时点映射到每个周度样本；可行域编译负责形成周度合约调整范围、现货带宽上下界、小时级份额上限、爬坡约束和非负计划约束。</w:t>
      </w:r>
    </w:p>
    <w:p>
      <w:pPr>
        <w:spacing w:line="300" w:lineRule="auto"/>
        <w:ind w:firstLine="420"/>
      </w:pPr>
      <w:r>
        <w:rPr>
          <w:rFonts w:ascii="Times New Roman" w:hAnsi="Times New Roman" w:eastAsia="宋体"/>
          <w:sz w:val="22"/>
        </w:rPr>
        <w:t>从输出证据看，`outputs/v0.50/raw/metrics/feasible_domain_manifest.csv` 记录了每个周度样本的 `contract_adjustment_ratio_min`、`contract_adjustment_ratio_max`、`exposure_band_ratio_min`、`exposure_band_ratio_max`、`max_hourly_hedge_share`、`max_hourly_ramp_share`、`non_negative_position_required`、`feasible_domain_triggered` 和 `bound_reason_code`。2026-02 之后正式验证周的 `bound_reason_code` 包含 `lt_price_linked|ancillary_tight|renewable_active`，说明中长期价格联动、辅助服务收紧和新能源机制状态共同约束策略空间。</w:t>
      </w:r>
    </w:p>
    <w:p>
      <w:pPr>
        <w:spacing w:line="300" w:lineRule="auto"/>
        <w:ind w:firstLine="420"/>
      </w:pPr>
      <w:r>
        <w:rPr>
          <w:rFonts w:ascii="Times New Roman" w:hAnsi="Times New Roman" w:eastAsia="宋体"/>
          <w:sz w:val="22"/>
        </w:rPr>
        <w:t>政策可行域的意义在于把制度文本落实为动作边界和投影记录。若周度合约调整或小时级现货修正超出边界，项目不会简单删除该动作，而是在 `policy_violation_penalty_w`、`feasible_domain_clip_gap_w` 和投影字段中保留差距。这样的实现有助于论文解释“模型原始意图”和“制度可执行动作”之间的关系，也为消融实验中 `no_policy_projection` 结果提供了对照依据。</w:t>
      </w:r>
    </w:p>
    <w:p>
      <w:pPr>
        <w:pStyle w:val="Heading2"/>
      </w:pPr>
      <w:r>
        <w:rPr>
          <w:rFonts w:ascii="Times New Roman" w:hAnsi="Times New Roman" w:eastAsia="宋体"/>
          <w:sz w:val="28"/>
        </w:rPr>
        <w:t>2.5 风险度量、套期保值与基准策略理论基础</w:t>
      </w:r>
    </w:p>
    <w:p>
      <w:pPr>
        <w:spacing w:line="300" w:lineRule="auto"/>
        <w:ind w:firstLine="420"/>
      </w:pPr>
      <w:r>
        <w:rPr>
          <w:rFonts w:ascii="Times New Roman" w:hAnsi="Times New Roman" w:eastAsia="宋体"/>
          <w:sz w:val="22"/>
        </w:rPr>
        <w:t>本文的风险评价以利润、采购成本、收益波动、CVaR99、套保误差和最大回撤等指标共同构成。其中，CVaR99 用于描述 15 分钟采购成本的尾部高成本风险，套保误差用于描述计划电量与实际需求之间的偏离程度。CVaR 理论来源于一致性风险度量和条件风险价值优化研究[22][24]，在售电公司场景中能够弥补平均收益对极端价格时段反映不足的问题。</w:t>
      </w:r>
    </w:p>
    <w:p>
      <w:pPr>
        <w:spacing w:line="300" w:lineRule="auto"/>
        <w:ind w:firstLine="420"/>
      </w:pPr>
      <w:r>
        <w:rPr>
          <w:rFonts w:ascii="Times New Roman" w:hAnsi="Times New Roman" w:eastAsia="宋体"/>
          <w:sz w:val="22"/>
        </w:rPr>
        <w:t>基准策略是本文评价算法效果的必要参照。项目保留四类基准：`dynamic_lock_only` 强基准、固定持仓策略、无现货修正静态策略和简单滚动对冲策略。`dynamic_lock_only` 在训练奖励中作为强基准族，同时在 `outputs/v0.50/raw/metrics/benchmark_comparison.csv` 中以 `contract_ratio=0.55` 形成单独报告口径。论文需要明确这两个口径的差异：训练评分核使用 `reward.baseline_position_ratios=[0.50,0.55,0.60]` 中更优的成本基准，基准比较表则报告固定定义的 `dynamic_lock_only` 策略。</w:t>
      </w:r>
    </w:p>
    <w:p>
      <w:pPr>
        <w:spacing w:line="300" w:lineRule="auto"/>
        <w:ind w:firstLine="420"/>
      </w:pPr>
      <w:r>
        <w:rPr>
          <w:rFonts w:ascii="Times New Roman" w:hAnsi="Times New Roman" w:eastAsia="宋体"/>
          <w:sz w:val="22"/>
        </w:rPr>
        <w:t>采用强基准会提高结论可信度。若模型只与弱基准比较，可能得到表面收益改善；当 `dynamic_lock_only`、`static_no_spot_adjustment` 和 `simple_rolling_hedge` 均进入比较时，模型是否真正改进采购策略会更加清楚。当前 v0.50 结果也证明这一点：主模型在正式验证集未跑赢强基准，持出基准中静态无现货修正在利润口径上反而更高。这一结果说明，制度约束和强基准会实质影响售电公司策略评价，简单报告主模型收益并不足以支撑策略有效性判断。</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第三章 售电公司多时间尺度购售电决策模型构建</w:t>
      </w:r>
    </w:p>
    <w:p>
      <w:pPr>
        <w:pStyle w:val="Heading2"/>
      </w:pPr>
      <w:r>
        <w:rPr>
          <w:rFonts w:ascii="Times New Roman" w:hAnsi="Times New Roman" w:eastAsia="宋体"/>
          <w:sz w:val="28"/>
        </w:rPr>
        <w:t>3.1 时间与变量设定</w:t>
      </w:r>
    </w:p>
    <w:p>
      <w:pPr>
        <w:spacing w:line="300" w:lineRule="auto"/>
        <w:ind w:firstLine="420"/>
      </w:pPr>
      <w:r>
        <w:rPr>
          <w:rFonts w:ascii="Times New Roman" w:hAnsi="Times New Roman" w:eastAsia="宋体"/>
          <w:sz w:val="22"/>
        </w:rPr>
        <w:t>本文模型采用周度、小时和 15 分钟三层时间索引。令 \(w\) 表示周度决策期，\(h\in\{1,\ldots,168\}\) 表示周内小时，\(t\) 表示 15 分钟结算点。项目配置中 `data.expected_frequency_minutes=15`、`settlement_interval_hours=0.25`、`hour_interval_hours=1.0`、`week_period=W-SUN`，说明原始数据以 15 分钟为基础频率，模型内部聚合到小时和周度后再回到 15 分钟结算。</w:t>
      </w:r>
    </w:p>
    <w:p>
      <w:pPr>
        <w:spacing w:line="300" w:lineRule="auto"/>
        <w:ind w:firstLine="420"/>
      </w:pPr>
      <w:r>
        <w:rPr>
          <w:rFonts w:ascii="Times New Roman" w:hAnsi="Times New Roman" w:eastAsia="宋体"/>
          <w:sz w:val="22"/>
        </w:rPr>
        <w:t>周度状态记为：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s_w=[x_w,p_w,f_w,a_{w-1},r_{w-1}]</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其中，\(x_w\) 为市场特征，包括历史日前价格、日内价格、价差、负荷预测偏差、新能源偏差和时段统计量；\(p_w\) 为当前制度状态；\(f_w\) 为四组前瞻制度状态；\(a_{w-1}\) 和 \(r_{w-1}\) 分别表示上一期动作和上一期奖励。该结构对应 `outputs/v0.50/reports/v0.50_human_report.md` 中的状态定义，也可在 `outputs/v0.50/raw/metadata/compiled_parameter_layout.json` 的 `weekly_feature_weights` 与 `policy_feature_weights` 中看到实际字段。</w:t>
      </w:r>
    </w:p>
    <w:p>
      <w:pPr>
        <w:spacing w:line="300" w:lineRule="auto"/>
        <w:ind w:firstLine="420"/>
      </w:pPr>
      <w:r>
        <w:rPr>
          <w:rFonts w:ascii="Times New Roman" w:hAnsi="Times New Roman" w:eastAsia="宋体"/>
          <w:sz w:val="22"/>
        </w:rPr>
        <w:t>上层周度动作定义为：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a_w=(\Delta h_w^{raw}, b_w)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\(\Delta h_w^{raw}\) 是相对强基准底仓的原始残差动作，\(b_w\) 是现货边际风险敞口带宽。下层小时动作 \(u_{w,h}\) 是带符号现货净修正量。正值表示增加现货侧计划电量，负值表示减少现货侧计划电量。这个定义与 `src/training/score_kernel.py` 中 `spot_hedge_mwh` 的语义一致，摩擦成本按绝对成交量计算。</w:t>
      </w:r>
    </w:p>
    <w:p>
      <w:pPr>
        <w:pStyle w:val="Heading2"/>
      </w:pPr>
      <w:r>
        <w:rPr>
          <w:rFonts w:ascii="Times New Roman" w:hAnsi="Times New Roman" w:eastAsia="宋体"/>
          <w:sz w:val="28"/>
        </w:rPr>
        <w:t>3.2 周度中长期持仓</w:t>
      </w:r>
    </w:p>
    <w:p>
      <w:pPr>
        <w:spacing w:line="300" w:lineRule="auto"/>
        <w:ind w:firstLine="420"/>
      </w:pPr>
      <w:r>
        <w:rPr>
          <w:rFonts w:ascii="Times New Roman" w:hAnsi="Times New Roman" w:eastAsia="宋体"/>
          <w:sz w:val="22"/>
        </w:rPr>
        <w:t>周度中长期持仓模型从强基准底仓出发。令 \(\widehat L_w\) 为第 \(w\) 周预测净负荷，\(r_{base}\) 为基准锁定比例。项目配置中 `score_kernel.contract_position_base_ratio=0.60`，正式验证周输出中 `lock_ratio_base=0.6`。原始残差动作由市场信号和制度信号共同生成：</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\Delta h_w^{raw}=\rho_{\Delta}\tanh(k_x x_w^T\theta_x+k_p p_w^T\theta_p+\theta_0)\widehat L_w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其中，\(\theta_x\) 是市场特征权重，\(\theta_p\) 是制度状态权重，\(\rho_{\Delta}\) 控制调整尺度，\(\tanh(\cdot)\) 用于限制原始动作幅度。该公式对应 `src/training/score_kernel.py` 中周度合约调整信号的计算，也对应 `outputs/v0.50/raw/metadata/compiled_parameter_layout.json` 中上层参数块 `weekly_feature_weights` 与 `policy_feature_weights`。</w:t>
      </w:r>
    </w:p>
    <w:p>
      <w:pPr>
        <w:spacing w:line="300" w:lineRule="auto"/>
        <w:ind w:firstLine="420"/>
      </w:pPr>
      <w:r>
        <w:rPr>
          <w:rFonts w:ascii="Times New Roman" w:hAnsi="Times New Roman" w:eastAsia="宋体"/>
          <w:sz w:val="22"/>
        </w:rPr>
        <w:t>原始动作需要经过政策可行域投影：</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\Delta h_w^{exec}=\operatorname{clip}(\Delta h_w^{raw}, r^{min}_w\widehat L_w, r^{max}_w\widehat L_w)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\(r^{min}_w\) 和 \(r^{max}_w\) 来自可行域清单。最终周度中长期持仓为：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H_w=\max(r_{base}\widehat L_w+\Delta h_w^{exec},0)</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这里的 `max` 体现非负持仓约束。论文写作中应强调 \(H_w\) 是结算和风险管理头寸。项目输出 `outputs/v0.50/raw/metrics/validation_weekly_results.csv` 保留了 `lock_ratio_base`、`delta_lock_ratio`、`lock_ratio_final`、`contract_adjustment_mwh_raw`、`contract_adjustment_mwh_exec` 和 `contract_position_mwh`。2026-02-02 至 2026-02-23 的正式验证周中，`lock_ratio_base=0.6`，投影后 `delta_lock_ratio=-0.12`，最终 `lock_ratio_final=0.48`，说明价格联动、辅助服务收紧和新能源状态共同压缩了周度底仓调整空间。</w:t>
      </w:r>
    </w:p>
    <w:p>
      <w:pPr>
        <w:pStyle w:val="Heading2"/>
      </w:pPr>
      <w:r>
        <w:rPr>
          <w:rFonts w:ascii="Times New Roman" w:hAnsi="Times New Roman" w:eastAsia="宋体"/>
          <w:sz w:val="28"/>
        </w:rPr>
        <w:t>3.3 风险带宽与 24 小时合约曲线</w:t>
      </w:r>
    </w:p>
    <w:p>
      <w:pPr>
        <w:spacing w:line="300" w:lineRule="auto"/>
        <w:ind w:firstLine="420"/>
      </w:pPr>
      <w:r>
        <w:rPr>
          <w:rFonts w:ascii="Times New Roman" w:hAnsi="Times New Roman" w:eastAsia="宋体"/>
          <w:sz w:val="22"/>
        </w:rPr>
        <w:t>风险敞口带宽表示售电公司在第 \(w\) 周允许下层小时级现货修正使用的风险预算。原始带宽可写为：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B_w^{raw}=\operatorname{ReLU}\{r_B\widehat L_w[1+\tanh(k_B g_w+\theta_B)]\}</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\(g_w\) 是由市场特征和制度状态生成的周度综合信号，\(r_B\) 是带宽基准比例。执行带宽经过可行域投影：</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B_w=\operatorname{clip}(B_w^{raw}, b_w^{min}\widehat L_w,b_w^{max}\widehat L_w)</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\(b_w^{min}\) 与 \(b_w^{max}\) 来自 `policy_feasible_domain` 配置和 `feasible_domain_manifest.csv`。在辅助服务收紧状态下，`exposure_band_ratio_cap_ancillary_tight=0.12` 会压低小时级修正空间；在一般状态下，`exposure_band_ratio_cap=0.25` 提供更宽的风险预算。这个设计把制度状态直接转化为下层动作边界。</w:t>
      </w:r>
    </w:p>
    <w:p>
      <w:pPr>
        <w:spacing w:line="300" w:lineRule="auto"/>
        <w:ind w:firstLine="420"/>
      </w:pPr>
      <w:r>
        <w:rPr>
          <w:rFonts w:ascii="Times New Roman" w:hAnsi="Times New Roman" w:eastAsia="宋体"/>
          <w:sz w:val="22"/>
        </w:rPr>
        <w:t>周度中长期持仓还需要分解到 24 小时合约曲线。令 \(\phi_h\) 表示第 \(h\) 小时的曲线基函数，\(z_w\) 表示合约曲线隐变量，则：</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\pi_{w,1:24}=\operatorname{softmax}(z_w\Phi),\quad \sum_{h=1}^{24}\pi_{w,h}=1,\quad \pi_{w,h}\ge 0</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周度底仓到小时合约量的映射为：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q_{w,h}^{LT}=H_w\pi_{w,h}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`softmax` 保证 24 小时曲线权重非负且总和为 1，避免合约曲线出现不可解释的负电量或总量偏离。项目中该参数块对应 `contract_curve_latent`，当前正式大小为 20；该信息可在 `outputs/v0.50/raw/metadata/compiled_parameter_layout.json` 中核验。</w:t>
      </w:r>
    </w:p>
    <w:p>
      <w:pPr>
        <w:pStyle w:val="Heading2"/>
      </w:pPr>
      <w:r>
        <w:rPr>
          <w:rFonts w:ascii="Times New Roman" w:hAnsi="Times New Roman" w:eastAsia="宋体"/>
          <w:sz w:val="28"/>
        </w:rPr>
        <w:t>3.4 小时级现货修正</w:t>
      </w:r>
    </w:p>
    <w:p>
      <w:pPr>
        <w:spacing w:line="300" w:lineRule="auto"/>
        <w:ind w:firstLine="420"/>
      </w:pPr>
      <w:r>
        <w:rPr>
          <w:rFonts w:ascii="Times New Roman" w:hAnsi="Times New Roman" w:eastAsia="宋体"/>
          <w:sz w:val="22"/>
        </w:rPr>
        <w:t>小时级现货修正的任务是在既定周度底仓和 24 小时曲线基础上，根据短期信号生成带符号净修正量。综合信号可表示为：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m_{w,h}=\beta_s spread_{w,h-1}+\beta_l loaddev_{w,h-1}+\beta_r rendev_{w,h-1}+\beta_a |spread_{w,h-1}|session_h+\beta_{ra}|rendev_{w,h-1}|session_h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其中，\(spread\) 表示现货或日前-日内价差，\(loaddev\) 表示负荷预测偏差，\(rendev\) 表示新能源扰动，\(session_h\) 表示时段权重。`experiment_config.yaml` 中 `lower_strategy.feature_columns` 包含 `price_spread`、`load_dev`、`renewable_dev`、`ancillary_freq_reserve_tight`、`ancillary_peak_shaving_pause`，这些字段进入下层参数块 `spread_response`、`load_deviation_response`、`renewable_response` 和 `policy_shrink_response`。</w:t>
      </w:r>
    </w:p>
    <w:p>
      <w:pPr>
        <w:spacing w:line="300" w:lineRule="auto"/>
        <w:ind w:firstLine="420"/>
      </w:pPr>
      <w:r>
        <w:rPr>
          <w:rFonts w:ascii="Times New Roman" w:hAnsi="Times New Roman" w:eastAsia="宋体"/>
          <w:sz w:val="22"/>
        </w:rPr>
        <w:t>为了避免小信号频繁交易，项目设置门控函数：</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gate_{w,h}=\sigma\left(\frac{|m_{w,h}|-d}{\tau}\right)</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\(d\) 是信号死区，\(\tau\) 是温度参数。配置文件中 `score_kernel.hourly_gate.enabled=true`、`signal_deadband=0.12`、`temperature=0.04`。门控后的原始修正量为：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u_{w,h}^{raw}=gate_{w,h}\tanh(m_{w,h})\frac{B_w}{N_h}(l_{base}+l_{shrink}\cdot shrink_{w,h})</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\(N_h\) 为周内有效小时数，\(l_{base}\) 和 \(l_{shrink}\) 为小时限制参数，\(shrink_{w,h}\) 表示制度收缩状态。随后执行小时级投影：</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u_{w,h}=Proj_{hour}(u_{w,h}^{raw};B_w,share_{w,h},ramp_{w,h})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并满足：</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|u_{w,h}|\le \frac{B_w}{N_h}share_{w,h}</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|u_{w,h}-u_{w,h-1}|\le \frac{B_w}{N_h}share_{w,h}ramp_{w,h}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该部分对应 `src/training/score_kernel.py` 中 `raw_spot_hedge_mwh`、`project_hourly_hedge_tensor()` 和 `spot_hedge_mwh` 的计算，也对应 `src/backtest/materialize.py` 中小时级结果输出。需要注意的是，当前 v0.50 正式滚动结果中 `rolling_hourly_results.csv` 的 1632 条 `spot_hedge_mwh` 均为 0。这说明代码通道存在，当前训练结果、门控和可行域组合未触发现货净修正。论文实证部分应如实解释这一点。</w:t>
      </w:r>
    </w:p>
    <w:p>
      <w:pPr>
        <w:pStyle w:val="Heading2"/>
      </w:pPr>
      <w:r>
        <w:rPr>
          <w:rFonts w:ascii="Times New Roman" w:hAnsi="Times New Roman" w:eastAsia="宋体"/>
          <w:sz w:val="28"/>
        </w:rPr>
        <w:t>3.5 15 分钟结算</w:t>
      </w:r>
    </w:p>
    <w:p>
      <w:pPr>
        <w:spacing w:line="300" w:lineRule="auto"/>
        <w:ind w:firstLine="420"/>
      </w:pPr>
      <w:r>
        <w:rPr>
          <w:rFonts w:ascii="Times New Roman" w:hAnsi="Times New Roman" w:eastAsia="宋体"/>
          <w:sz w:val="22"/>
        </w:rPr>
        <w:t>15 分钟代理结算层把周度和小时级决策还原到市场结算粒度。令 \(q_{w,t}^{LT}\) 为从小时中长期曲线均分到 15 分钟点的合约电量，\(u_{w,t}\) 为小时级现货修正均分到对应 15 分钟点的净修正量，则计划电量为：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q_{w,t}^{sch}=\max(q_{w,t}^{LT}+u_{w,t},0)</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实际需求为：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q_{w,t}^{real}=\max(net\_load\_id\_mwh_{w,t},0)</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非负约束确保售电公司采购侧不形成负计划电量。项目中 `net_load_id_mwh` 作为 15 分钟实际净负荷优先进入结算；若实际列不可用，才采用备用分摊逻辑。当前正式实现使用 `quarter_price_tensor` 在 15 分钟层计算成本、风险和收益，对应 `src/training/score_kernel.py` 的结算部分和 `outputs/v0.50/raw/metrics/rolling_settlement_results.csv` 的物化结果。</w:t>
      </w:r>
    </w:p>
    <w:p>
      <w:pPr>
        <w:spacing w:line="300" w:lineRule="auto"/>
        <w:ind w:firstLine="420"/>
      </w:pPr>
      <w:r>
        <w:rPr>
          <w:rFonts w:ascii="Times New Roman" w:hAnsi="Times New Roman" w:eastAsia="宋体"/>
          <w:sz w:val="22"/>
        </w:rPr>
        <w:t>这一层的作用是把小时级近似决策与 96 点结算口径连接起来。若只在小时层评价收益，可能忽略电价尖峰和实际负荷偏差在 15 分钟点上的集中出现。项目正式报告中张量包按 21 周、168 小时/周、每周最多 672 个 15 分钟点组织，说明模型在计算上保留了多时间尺度结构。</w:t>
      </w:r>
    </w:p>
    <w:p>
      <w:pPr>
        <w:pStyle w:val="Heading2"/>
      </w:pPr>
      <w:r>
        <w:rPr>
          <w:rFonts w:ascii="Times New Roman" w:hAnsi="Times New Roman" w:eastAsia="宋体"/>
          <w:sz w:val="28"/>
        </w:rPr>
        <w:t>3.6 成本与收益</w:t>
      </w:r>
    </w:p>
    <w:p>
      <w:pPr>
        <w:spacing w:line="300" w:lineRule="auto"/>
        <w:ind w:firstLine="420"/>
      </w:pPr>
      <w:r>
        <w:rPr>
          <w:rFonts w:ascii="Times New Roman" w:hAnsi="Times New Roman" w:eastAsia="宋体"/>
          <w:sz w:val="22"/>
        </w:rPr>
        <w:t>15 分钟采购成本由计划电量成本和偏差成本构成：</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C_{w,t}=q_{w,t}^{sch}(\omega_{LT}p_{w}^{LT,eff}+\omega_{DA}p_{w,t}^{DA})+|q_{w,t}^{real}-q_{w,t}^{sch}|p_{w,t}^{ID}\eta</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其中，\(p_{w}^{LT,eff}\) 为中长期有效价，\(p_{w,t}^{DA}\) 为日前现货价格，\(p_{w,t}^{ID}\) 为日内或实时代理价格，\(\omega_{LT}\) 与 \(\omega_{DA}\) 为结算权重，\(\eta\) 为偏差惩罚倍率。配置文件中 `score_kernel.lt_settlement_weight=0.60`、`score_kernel.da_settlement_weight=0.40`、`economics.imbalance_penalty_multiplier=1.00`。2026-02 后，中长期有效价使用 `lt_price_w_effective`，体现 40% 固定价格和 60% 灵活价格联动的执行时点。</w:t>
      </w:r>
    </w:p>
    <w:p>
      <w:pPr>
        <w:spacing w:line="300" w:lineRule="auto"/>
        <w:ind w:firstLine="420"/>
      </w:pPr>
      <w:r>
        <w:rPr>
          <w:rFonts w:ascii="Times New Roman" w:hAnsi="Times New Roman" w:eastAsia="宋体"/>
          <w:sz w:val="22"/>
        </w:rPr>
        <w:t>周采购成本为：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C_w=\sum_t C_{w,t}</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零售收入为：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R_w=\sum_t q_{w,t}^{real}p^{retail}</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\(p^{retail}\) 是外生零售电价。周利润为：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P_w=R_w-C_w-c_{adj}|\Delta h_w^{raw}-\Delta h_w^{exec}|-c_{fric}\sum_h|u_{w,h}|</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\(c_{adj}\) 是合约调整投影相关成本，\(c_{fric}\) 是现货交易摩擦成本。配置中 `economics.adjustment_cost_yuan_per_mwh=0.60`、`economics.friction_cost_yuan_per_mwh=1.20`。由于当前正式滚动结果 `spot_hedge_mwh` 全为 0，现货交易摩擦在实证中没有形成实际交易成本；这也解释了为什么小时级机制在当前结果中更多体现为“可用通道”而非“已激活贡献”。</w:t>
      </w:r>
    </w:p>
    <w:p>
      <w:pPr>
        <w:pStyle w:val="Heading2"/>
      </w:pPr>
      <w:r>
        <w:rPr>
          <w:rFonts w:ascii="Times New Roman" w:hAnsi="Times New Roman" w:eastAsia="宋体"/>
          <w:sz w:val="28"/>
        </w:rPr>
        <w:t>3.7 CVaR 与对冲误差</w:t>
      </w:r>
    </w:p>
    <w:p>
      <w:pPr>
        <w:spacing w:line="300" w:lineRule="auto"/>
        <w:ind w:firstLine="420"/>
      </w:pPr>
      <w:r>
        <w:rPr>
          <w:rFonts w:ascii="Times New Roman" w:hAnsi="Times New Roman" w:eastAsia="宋体"/>
          <w:sz w:val="22"/>
        </w:rPr>
        <w:t>本文使用 CVaR99 表示 15 分钟采购成本的尾部风险。令 \(VaR_{\alpha,w}\) 为第 \(w\) 周 15 分钟成本的 \(\alpha\) 分位阈值，则：</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CVaR_{\alpha,w}=E[C_{w,t}\mid C_{w,t}\ge VaR_{\alpha,w}]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当前项目取 \(\alpha=0.99\)，关注最不利 1% 成本时段的平均成本。该指标对应 `src/training/score_kernel.py` 中 `tail_count`、`topk` 和 `cvar99` 的计算，也对应 `outputs/v0.50/raw/metrics/validation_metrics.csv`、`outputs/v0.50/raw/metrics/rolling_backtest_metrics.csv` 中的 `cvar99` 字段。</w:t>
      </w:r>
    </w:p>
    <w:p>
      <w:pPr>
        <w:spacing w:line="300" w:lineRule="auto"/>
        <w:ind w:firstLine="420"/>
      </w:pPr>
      <w:r>
        <w:rPr>
          <w:rFonts w:ascii="Times New Roman" w:hAnsi="Times New Roman" w:eastAsia="宋体"/>
          <w:sz w:val="22"/>
        </w:rPr>
        <w:t>套保误差定义为计划电量与实际需求之间的相对偏差：</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E_w=\frac{|\sum_t q_{w,t}^{real}-\sum_t q_{w,t}^{sch}|}{\max(\sum_t q_{w,t}^{real},1)}</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该指标衡量中长期底仓、现货修正和实际负荷之间的匹配程度。利润较高但套保误差过大，说明策略可能依赖价格机会而牺牲需求覆盖稳定性；利润较低但套保误差改善，也可能说明策略在风险控制上具有一定价值。因此，第五章评价时将采购成本、利润、CVaR99 和 `hedge_error` 共同报告。</w:t>
      </w:r>
    </w:p>
    <w:p>
      <w:pPr>
        <w:pStyle w:val="Heading2"/>
      </w:pPr>
      <w:r>
        <w:rPr>
          <w:rFonts w:ascii="Times New Roman" w:hAnsi="Times New Roman" w:eastAsia="宋体"/>
          <w:sz w:val="28"/>
        </w:rPr>
        <w:t>3.8 奖励函数</w:t>
      </w:r>
    </w:p>
    <w:p>
      <w:pPr>
        <w:spacing w:line="300" w:lineRule="auto"/>
        <w:ind w:firstLine="420"/>
      </w:pPr>
      <w:r>
        <w:rPr>
          <w:rFonts w:ascii="Times New Roman" w:hAnsi="Times New Roman" w:eastAsia="宋体"/>
          <w:sz w:val="22"/>
        </w:rPr>
        <w:t>模型训练目标围绕相对强基准的超额收益展开。强基准利润记为：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P_w^{base}=R_w-\min_{b\in\mathcal B}C_w^{base}(b)</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 \(\mathcal B=\{0.50,0.55,0.60\}\) 来自 `reward.baseline_position_ratios`。超额收益为：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X_w=P_w-P_w^{base}</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违规惩罚记为：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V_w=\lambda_{proj}(|\Delta h_w^{raw}-\Delta h_w^{exec}|+|B_w^{raw}-B_w|+\sum_h|u_{w,h}^{raw}-u_{w,h}|)</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周奖励函数为：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r_w=X_w-\lambda_{tail}CVaR_{0.99,w}-\lambda_{hedge}E_w-\lambda_{trade}F_w-\lambda_{violate}V_w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其中，\(F_w=\sum_h|u_{w,h}|\) 表示现货修正的绝对交易量，\(\lambda_{tail}\)、\(\lambda_{hedge}\)、\(\lambda_{trade}\)、\(\lambda_{violate}\) 分别为尾部风险、套保误差、交易摩擦和制度投影惩罚权重。配置文件中相应值为 0.65、0.18、0.10 和 1.00。粒子群优化目标为：</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J(\theta_u,\theta_l)=-\sum_w r_w</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该奖励结构体现本文的评价口径：策略需要尝试相对强基准节约成本，同时控制尾部高成本、对冲误差、交易摩擦和政策可执行性。该公式直接对应 `src/training/score_kernel.py` 中 `reward` 和 `total_score` 的计算。</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第四章 模型求解与实验设计</w:t>
      </w:r>
    </w:p>
    <w:p>
      <w:pPr>
        <w:pStyle w:val="Heading2"/>
      </w:pPr>
      <w:r>
        <w:rPr>
          <w:rFonts w:ascii="Times New Roman" w:hAnsi="Times New Roman" w:eastAsia="宋体"/>
          <w:sz w:val="28"/>
        </w:rPr>
        <w:t>4.1 数据来源、样本处理与特征构造</w:t>
      </w:r>
    </w:p>
    <w:p>
      <w:pPr>
        <w:spacing w:line="300" w:lineRule="auto"/>
        <w:ind w:firstLine="420"/>
      </w:pPr>
      <w:r>
        <w:rPr>
          <w:rFonts w:ascii="Times New Roman" w:hAnsi="Times New Roman" w:eastAsia="宋体"/>
          <w:sz w:val="22"/>
        </w:rPr>
        <w:t>本文实验数据由项目根目录 `total.csv` 及其配置入口 `experiment_config.yaml` 驱动。样本范围为 2025-11-01 00:00:00 至 2026-03-20 23:45:00，缓冲扫描到 2026-03-28 23:45:00。正式训练集为 2025-11-03 至 2026-01-26，正式验证集为 2026-02-02 至 2026-02-23，正式测试集为 2026-03-02 至 2026-03-16。该划分在 `outputs/v0.50/release_manifest.json` 和 `outputs/v0.50/run_manifest.json` 中均有记录。</w:t>
      </w:r>
    </w:p>
    <w:p>
      <w:pPr>
        <w:spacing w:line="300" w:lineRule="auto"/>
        <w:ind w:firstLine="420"/>
      </w:pPr>
      <w:r>
        <w:rPr>
          <w:rFonts w:ascii="Times New Roman" w:hAnsi="Times New Roman" w:eastAsia="宋体"/>
          <w:sz w:val="22"/>
        </w:rPr>
        <w:t>数据处理由 `src/scripts/common.py` 中 `prepare_project_context()` 统一组织。该函数读取配置和原始数据，完成 15 分钟清洗、小时聚合、周度特征构造、政策文件解析、制度状态轨迹、可行域编译、参数布局和训练张量打包。数据层代码主要包括 `src/data/loader.py`、`src/data/preprocess.py`、`src/data/feature_engineering.py` 和 `src/data/weekly_builder.py`。</w:t>
      </w:r>
    </w:p>
    <w:p>
      <w:pPr>
        <w:spacing w:line="300" w:lineRule="auto"/>
        <w:ind w:firstLine="420"/>
      </w:pPr>
      <w:r>
        <w:rPr>
          <w:rFonts w:ascii="Times New Roman" w:hAnsi="Times New Roman" w:eastAsia="宋体"/>
          <w:sz w:val="22"/>
        </w:rPr>
        <w:t>特征构造服务于周度和小时两层决策。周度层包含历史日前价格、日内价格、价差、负荷偏差、新能源偏差、时段价差、外送/水电/非市场电量等统计量，并加入政策状态和前瞻制度状态。小时层包含 `price_spread`、`load_dev`、`renewable_dev` 以及辅助服务收紧状态。输出 `outputs/v0.50/raw/metrics/feature_manifest.csv` 记录了特征来源和是否进入 agent，保证论文中变量说明可以回到项目证据。</w:t>
      </w:r>
    </w:p>
    <w:p>
      <w:pPr>
        <w:pStyle w:val="Heading2"/>
      </w:pPr>
      <w:r>
        <w:rPr>
          <w:rFonts w:ascii="Times New Roman" w:hAnsi="Times New Roman" w:eastAsia="宋体"/>
          <w:sz w:val="28"/>
        </w:rPr>
        <w:t>4.2 政策规则整理与可行域生成流程</w:t>
      </w:r>
    </w:p>
    <w:p>
      <w:pPr>
        <w:spacing w:line="300" w:lineRule="auto"/>
        <w:ind w:firstLine="420"/>
      </w:pPr>
      <w:r>
        <w:rPr>
          <w:rFonts w:ascii="Times New Roman" w:hAnsi="Times New Roman" w:eastAsia="宋体"/>
          <w:sz w:val="22"/>
        </w:rPr>
        <w:t>政策规则整理的输入目录为 `政策环境/`。项目首先通过 `policy_parser.py` 扫描政策文件，生成 `policy_file_inventory.csv`、`policy_rule_candidates.csv`、`policy_rule_reviewed.csv`、`policy_rule_table.csv` 和 `policy_parse_failures.csv`。然后通过 `regime_builder.py` 和 `policy_regime.py` 生成每周制度状态，包括当前状态和四组前瞻状态。最后由 `feasible_domain.py` 编译为可行域边界，供训练评分核和物化回测使用。</w:t>
      </w:r>
    </w:p>
    <w:p>
      <w:pPr>
        <w:spacing w:line="300" w:lineRule="auto"/>
        <w:ind w:firstLine="420"/>
      </w:pPr>
      <w:r>
        <w:rPr>
          <w:rFonts w:ascii="Times New Roman" w:hAnsi="Times New Roman" w:eastAsia="宋体"/>
          <w:sz w:val="22"/>
        </w:rPr>
        <w:t>当前 v0.50 正式结果显示，政策来源文件数为 18，结构化规则数为 36，政策解析失败文件数为 0。规则表字段覆盖 `rule_id`、`policy_name`、`publish_time`、`effective_start`、`effective_end`、`rule_type`、`scope`、`state_group`、`state_name`、`state_value`、`source_file`、`note`。这一结果满足 AGENTS.md 对政策文件必须真正进入建模流程的要求。</w:t>
      </w:r>
    </w:p>
    <w:p>
      <w:pPr>
        <w:spacing w:line="300" w:lineRule="auto"/>
        <w:ind w:firstLine="420"/>
      </w:pPr>
      <w:r>
        <w:rPr>
          <w:rFonts w:ascii="Times New Roman" w:hAnsi="Times New Roman" w:eastAsia="宋体"/>
          <w:sz w:val="22"/>
        </w:rPr>
        <w:t>可行域生成的核心是把制度状态映射到动作边界。配置 `experiment_config.yaml` 中 `policy_feasible_domain.enabled=true`、`strict_mode=true`、`bind_upper_actions=true`、`bind_lower_actions=true`、`bind_settlement_mode=true`。周度层约束包括非负持仓、合约调整比例上限、价格联动后的更紧调整上限；小时层约束包括现货带宽下限、上限、辅助服务收紧带宽上限、小时份额上限和爬坡上限。输出 `outputs/v0.50/raw/metrics/feasible_domain_manifest.csv` 是这一过程的直接证据。</w:t>
      </w:r>
    </w:p>
    <w:p>
      <w:pPr>
        <w:pStyle w:val="Heading2"/>
      </w:pPr>
      <w:r>
        <w:rPr>
          <w:rFonts w:ascii="Times New Roman" w:hAnsi="Times New Roman" w:eastAsia="宋体"/>
          <w:sz w:val="28"/>
        </w:rPr>
        <w:t>4.3 参数布局、数值化计算与求解框架</w:t>
      </w:r>
    </w:p>
    <w:p>
      <w:pPr>
        <w:spacing w:line="300" w:lineRule="auto"/>
        <w:ind w:firstLine="420"/>
      </w:pPr>
      <w:r>
        <w:rPr>
          <w:rFonts w:ascii="Times New Roman" w:hAnsi="Times New Roman" w:eastAsia="宋体"/>
          <w:sz w:val="22"/>
        </w:rPr>
        <w:t>当前正式版本的参数布局由 `outputs/v0.50/raw/metadata/compiled_parameter_layout.json` 记录。上层真实维度为 182，下层真实维度为 48。上层参数块包括 `weekly_feature_weights` 148 维、`policy_feature_weights` 6 维、`contract_curve_latent` 20 维和 `action_head` 8 维。下层参数块包括 `spread_response`、`load_deviation_response`、`renewable_response`、`policy_shrink_response`，每块 12 维。</w:t>
      </w:r>
    </w:p>
    <w:p>
      <w:pPr>
        <w:spacing w:line="300" w:lineRule="auto"/>
        <w:ind w:firstLine="420"/>
      </w:pPr>
      <w:r>
        <w:rPr>
          <w:rFonts w:ascii="Times New Roman" w:hAnsi="Times New Roman" w:eastAsia="宋体"/>
          <w:sz w:val="22"/>
        </w:rPr>
        <w:t>这种布局使论文中的变量和代码参数能够对应。周度市场和政策特征进入 `weekly_feature_weights` 与 `policy_feature_weights`；24 小时曲线由 `contract_curve_latent` 控制；周度动作头由 `action_head` 输出底仓残差和风险带宽；小时级价差、负荷偏差、新能源扰动和政策收缩则分别进入下层四类响应参数。项目运行摘要 `outputs/v0.50/raw/metadata/training_runtime_summary.json` 确认 `upper_dim_config=182`、`upper_dim_real=182`、`lower_dim_config=48`、`lower_dim_real=48`，说明配置维度与编译后真实维度一致。</w:t>
      </w:r>
    </w:p>
    <w:p>
      <w:pPr>
        <w:spacing w:line="300" w:lineRule="auto"/>
        <w:ind w:firstLine="420"/>
      </w:pPr>
      <w:r>
        <w:rPr>
          <w:rFonts w:ascii="Times New Roman" w:hAnsi="Times New Roman" w:eastAsia="宋体"/>
          <w:sz w:val="22"/>
        </w:rPr>
        <w:t>数值化计算由 `src/training/tensor_bundle.py` 完成，张量包包含周度特征、政策张量、小时特征、15 分钟价格、可行域边界和掩码。训练与评分均基于同一 `TrainingTensorBundle`，避免训练、验证和报告之间口径不一致。</w:t>
      </w:r>
    </w:p>
    <w:p>
      <w:pPr>
        <w:pStyle w:val="Heading2"/>
      </w:pPr>
      <w:r>
        <w:rPr>
          <w:rFonts w:ascii="Times New Roman" w:hAnsi="Times New Roman" w:eastAsia="宋体"/>
          <w:sz w:val="28"/>
        </w:rPr>
        <w:t>4.4 双层混合粒子群算法设计</w:t>
      </w:r>
    </w:p>
    <w:p>
      <w:pPr>
        <w:spacing w:line="300" w:lineRule="auto"/>
        <w:ind w:firstLine="420"/>
      </w:pPr>
      <w:r>
        <w:rPr>
          <w:rFonts w:ascii="Times New Roman" w:hAnsi="Times New Roman" w:eastAsia="宋体"/>
          <w:sz w:val="22"/>
        </w:rPr>
        <w:t>当前正式算法为 `HYBRID_PSO_V040`。训练入口 `src/scripts/train.py` 调用 `src/agents/hybrid_pso.py`，在训练周上搜索上层粒子和下层粒子的组合。粒子群更新遵循：</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v\leftarrow \omega v+c_1r_1(pbest-position)+c_2r_2(gbest-position)</w:t>
      </w:r>
    </w:p>
    <w:p>
      <w:pPr>
        <w:spacing w:line="276" w:lineRule="auto"/>
      </w:pPr>
      <w:r>
        <w:rPr>
          <w:rFonts w:ascii="Times New Roman" w:hAnsi="Times New Roman" w:eastAsia="宋体"/>
          <w:sz w:val="22"/>
        </w:rPr>
        <w:t>\]</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position\leftarrow clip(position+v,-\kappa,\kappa)</w:t>
      </w:r>
    </w:p>
    <w:p>
      <w:pPr>
        <w:spacing w:line="276" w:lineRule="auto"/>
      </w:pPr>
      <w:r>
        <w:rPr>
          <w:rFonts w:ascii="Times New Roman" w:hAnsi="Times New Roman" w:eastAsia="宋体"/>
          <w:sz w:val="22"/>
        </w:rPr>
        <w:t>\]</w:t>
      </w:r>
    </w:p>
    <w:p>
      <w:pPr>
        <w:spacing w:line="300" w:lineRule="auto"/>
        <w:ind w:firstLine="420"/>
      </w:pPr>
      <w:r>
        <w:rPr>
          <w:rFonts w:ascii="Times New Roman" w:hAnsi="Times New Roman" w:eastAsia="宋体"/>
          <w:sz w:val="22"/>
        </w:rPr>
        <w:t>其中，\(\omega\) 为惯性权重，\(c_1\) 和 \(c_2\) 分别为个体学习因子和群体学习因子，\(\kappa\) 为位置裁剪绝对值。正式运行参数为上层粒子数 192、下层粒子数 160、迭代轮数 320、惯性权重 0.68、个体学习因子 1.30、群体学习因子 1.45、位置裁剪绝对值 1.25。这些值在 `outputs/v0.50/reports/v0.50_human_report.md` 和训练日志中均有记录。</w:t>
      </w:r>
    </w:p>
    <w:p>
      <w:pPr>
        <w:spacing w:line="300" w:lineRule="auto"/>
        <w:ind w:firstLine="420"/>
      </w:pPr>
      <w:r>
        <w:rPr>
          <w:rFonts w:ascii="Times New Roman" w:hAnsi="Times New Roman" w:eastAsia="宋体"/>
          <w:sz w:val="22"/>
        </w:rPr>
        <w:t>评分核 `src/training/score_kernel.py` 是算法求解的中心函数。`batch_score_particles()` 将粒子参数、周度状态、小时状态、15 分钟价格和可行域边界联结起来，输出周度收益、CVaR99、套保误差、政策投影惩罚、小时修正和总目标函数。物化函数 `src/backtest/materialize.py` 使用同一评分口径还原周度、小时和 15 分钟结果，保证报告字段与训练目标一致。</w:t>
      </w:r>
    </w:p>
    <w:p>
      <w:pPr>
        <w:pStyle w:val="Heading2"/>
      </w:pPr>
      <w:r>
        <w:rPr>
          <w:rFonts w:ascii="Times New Roman" w:hAnsi="Times New Roman" w:eastAsia="宋体"/>
          <w:sz w:val="28"/>
        </w:rPr>
        <w:t>4.5 验证集、滚动回测与基准比较设计</w:t>
      </w:r>
    </w:p>
    <w:p>
      <w:pPr>
        <w:spacing w:line="300" w:lineRule="auto"/>
        <w:ind w:firstLine="420"/>
      </w:pPr>
      <w:r>
        <w:rPr>
          <w:rFonts w:ascii="Times New Roman" w:hAnsi="Times New Roman" w:eastAsia="宋体"/>
          <w:sz w:val="22"/>
        </w:rPr>
        <w:t>正式验证由 `src/scripts/evaluate.py` 执行，在固定验证周上物化最优粒子，输出 `validation_metrics.csv`、`validation_weekly_results.csv`、`contract_value_weekly.csv` 和 `policy_risk_adjusted_metrics.csv`。滚动回测由 `src/scripts/backtest.py` 执行，采用 expanding rolling plan，每个窗口重新训练，并在下一周测试。当前滚动测试窗口为 10 个，覆盖 2026-01-12 至 2026-03-16。</w:t>
      </w:r>
    </w:p>
    <w:p>
      <w:pPr>
        <w:spacing w:line="300" w:lineRule="auto"/>
        <w:ind w:firstLine="420"/>
      </w:pPr>
      <w:r>
        <w:rPr>
          <w:rFonts w:ascii="Times New Roman" w:hAnsi="Times New Roman" w:eastAsia="宋体"/>
          <w:sz w:val="22"/>
        </w:rPr>
        <w:t>基准比较由 `src/analysis/benchmarks.py` 实现，输出 `outputs/v0.50/raw/metrics/benchmark_comparison.csv`。基准包括 `dynamic_lock_only`、`fixed_holding_60`、`static_no_spot_adjustment` 和 `simple_rolling_hedge`。消融实验输出 `outputs/v0.50/raw/metrics/ablation_metrics.csv`，包括 `full_model`、`no_parameter_layout_enhancement`、`no_policy_projection` 和 `no_state_enhancement`。稳健性检验输出 `outputs/v0.50/raw/metrics/robustness_metrics.csv`，围绕合约比例偏移、预测误差缩放和政策截断日开展情景重算。</w:t>
      </w:r>
    </w:p>
    <w:p>
      <w:pPr>
        <w:pStyle w:val="Heading2"/>
      </w:pPr>
      <w:r>
        <w:rPr>
          <w:rFonts w:ascii="Times New Roman" w:hAnsi="Times New Roman" w:eastAsia="宋体"/>
          <w:sz w:val="28"/>
        </w:rPr>
        <w:t>4.6 实验运行与结果复核口径</w:t>
      </w:r>
    </w:p>
    <w:p>
      <w:pPr>
        <w:spacing w:line="300" w:lineRule="auto"/>
        <w:ind w:firstLine="420"/>
      </w:pPr>
      <w:r>
        <w:rPr>
          <w:rFonts w:ascii="Times New Roman" w:hAnsi="Times New Roman" w:eastAsia="宋体"/>
          <w:sz w:val="22"/>
        </w:rPr>
        <w:t>当前项目要求正式版本验证通过远程 Jupyter 完成。v0.50 的远程运行记录位于 `outputs/v0.50/raw/remote_jupyter/jupyter-20260511Tv050-r2/remote_jupyter_run_manifest.json`。其中 pipeline 命令使用 `/research/miniforge3/envs/torch311/bin/python run_all.py`，返回码为 0，耗时约 799.79 秒；pytest 命令使用同一解释器执行 `src.scripts.run_pytest tests -q`，返回码为 0，耗时约 25.65 秒。该记录说明当前正式结果已经通过远程全流程和测试复核。</w:t>
      </w:r>
    </w:p>
    <w:p>
      <w:pPr>
        <w:spacing w:line="300" w:lineRule="auto"/>
        <w:ind w:firstLine="420"/>
      </w:pPr>
      <w:r>
        <w:rPr>
          <w:rFonts w:ascii="Times New Roman" w:hAnsi="Times New Roman" w:eastAsia="宋体"/>
          <w:sz w:val="22"/>
        </w:rPr>
        <w:t>结果引用以 `outputs/v0.50/` 为唯一正式来源。`outputs/v0.50/release_manifest.json`、`outputs/v0.50/run_manifest.json` 和 `outputs/v0.50/artifact_index.md` 是产物索引入口；正式报告只保留 `outputs/v0.50/reports/v0.50_human_report.md` 与 `outputs/v0.50/reports/v0.50_ai_structured_report.json`。论文第五章只使用这些正式结果，不采用中期报告或历史版本旧指标。</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第五章 实证结果与分析</w:t>
      </w:r>
    </w:p>
    <w:p>
      <w:pPr>
        <w:pStyle w:val="Heading2"/>
      </w:pPr>
      <w:r>
        <w:rPr>
          <w:rFonts w:ascii="Times New Roman" w:hAnsi="Times New Roman" w:eastAsia="宋体"/>
          <w:sz w:val="28"/>
        </w:rPr>
        <w:t>5.1 实验参数与整体运行结果</w:t>
      </w:r>
    </w:p>
    <w:p>
      <w:pPr>
        <w:spacing w:line="300" w:lineRule="auto"/>
        <w:ind w:firstLine="420"/>
      </w:pPr>
      <w:r>
        <w:rPr>
          <w:rFonts w:ascii="Times New Roman" w:hAnsi="Times New Roman" w:eastAsia="宋体"/>
          <w:sz w:val="22"/>
        </w:rPr>
        <w:t>当前正式版本为 `v0.50`，实验编号为 `v0.50-1ddb5ebf`，配置哈希为 `1ddb5ebf46bc74f7e9b22452e2b6c6c6ad000a720fb3d11d4dbac279106932a5`。算法为 `HYBRID_PSO_V040`，设备为 cuda，随机种子为 42。训练集、验证集和测试集均来自 `experiment_config.yaml` 与 `outputs/v0.50/release_manifest.json` 记录的正式划分。</w:t>
      </w:r>
    </w:p>
    <w:tbl>
      <w:tblPr>
        <w:tblStyle w:val="TableGrid"/>
        <w:tblW w:type="auto" w:w="0"/>
        <w:tblLayout w:type="autofit"/>
        <w:tblLook w:firstColumn="1" w:firstRow="1" w:lastColumn="0" w:lastRow="0" w:noHBand="0" w:noVBand="1" w:val="04A0"/>
      </w:tblPr>
      <w:tblGrid>
        <w:gridCol w:w="2948"/>
        <w:gridCol w:w="2948"/>
        <w:gridCol w:w="2948"/>
      </w:tblGrid>
      <w:tr>
        <w:tc>
          <w:tcPr>
            <w:tcW w:type="dxa" w:w="2948"/>
          </w:tcPr>
          <w:p>
            <w:pPr>
              <w:spacing w:line="240" w:lineRule="auto"/>
            </w:pPr>
            <w:r>
              <w:rPr>
                <w:rFonts w:ascii="Times New Roman" w:hAnsi="Times New Roman" w:eastAsia="宋体"/>
                <w:sz w:val="18"/>
              </w:rPr>
              <w:t>指标</w:t>
            </w:r>
          </w:p>
        </w:tc>
        <w:tc>
          <w:tcPr>
            <w:tcW w:type="dxa" w:w="2948"/>
          </w:tcPr>
          <w:p>
            <w:pPr>
              <w:spacing w:line="240" w:lineRule="auto"/>
            </w:pPr>
            <w:r>
              <w:rPr>
                <w:rFonts w:ascii="Times New Roman" w:hAnsi="Times New Roman" w:eastAsia="宋体"/>
                <w:sz w:val="18"/>
              </w:rPr>
              <w:t>v0.50 正式值</w:t>
            </w:r>
          </w:p>
        </w:tc>
        <w:tc>
          <w:tcPr>
            <w:tcW w:type="dxa" w:w="2948"/>
          </w:tcPr>
          <w:p>
            <w:pPr>
              <w:spacing w:line="240" w:lineRule="auto"/>
            </w:pPr>
            <w:r>
              <w:rPr>
                <w:rFonts w:ascii="Times New Roman" w:hAnsi="Times New Roman" w:eastAsia="宋体"/>
                <w:sz w:val="18"/>
              </w:rPr>
              <w:t>证据来源</w:t>
            </w:r>
          </w:p>
        </w:tc>
      </w:tr>
      <w:tr>
        <w:tc>
          <w:tcPr>
            <w:tcW w:type="dxa" w:w="2948"/>
          </w:tcPr>
          <w:p>
            <w:pPr>
              <w:spacing w:line="240" w:lineRule="auto"/>
            </w:pPr>
            <w:r>
              <w:rPr>
                <w:rFonts w:ascii="Times New Roman" w:hAnsi="Times New Roman" w:eastAsia="宋体"/>
                <w:sz w:val="18"/>
              </w:rPr>
              <w:t>上层真实维度</w:t>
            </w:r>
          </w:p>
        </w:tc>
        <w:tc>
          <w:tcPr>
            <w:tcW w:type="dxa" w:w="2948"/>
          </w:tcPr>
          <w:p>
            <w:pPr>
              <w:spacing w:line="240" w:lineRule="auto"/>
            </w:pPr>
            <w:r>
              <w:rPr>
                <w:rFonts w:ascii="Times New Roman" w:hAnsi="Times New Roman" w:eastAsia="宋体"/>
                <w:sz w:val="18"/>
              </w:rPr>
              <w:t>182</w:t>
            </w:r>
          </w:p>
        </w:tc>
        <w:tc>
          <w:tcPr>
            <w:tcW w:type="dxa" w:w="2948"/>
          </w:tcPr>
          <w:p>
            <w:pPr>
              <w:spacing w:line="240" w:lineRule="auto"/>
            </w:pPr>
            <w:r>
              <w:rPr>
                <w:rFonts w:ascii="Times New Roman" w:hAnsi="Times New Roman" w:eastAsia="宋体"/>
                <w:sz w:val="18"/>
              </w:rPr>
              <w:t>compiled_parameter_layout.json</w:t>
            </w:r>
          </w:p>
        </w:tc>
      </w:tr>
      <w:tr>
        <w:tc>
          <w:tcPr>
            <w:tcW w:type="dxa" w:w="2948"/>
          </w:tcPr>
          <w:p>
            <w:pPr>
              <w:spacing w:line="240" w:lineRule="auto"/>
            </w:pPr>
            <w:r>
              <w:rPr>
                <w:rFonts w:ascii="Times New Roman" w:hAnsi="Times New Roman" w:eastAsia="宋体"/>
                <w:sz w:val="18"/>
              </w:rPr>
              <w:t>下层真实维度</w:t>
            </w:r>
          </w:p>
        </w:tc>
        <w:tc>
          <w:tcPr>
            <w:tcW w:type="dxa" w:w="2948"/>
          </w:tcPr>
          <w:p>
            <w:pPr>
              <w:spacing w:line="240" w:lineRule="auto"/>
            </w:pPr>
            <w:r>
              <w:rPr>
                <w:rFonts w:ascii="Times New Roman" w:hAnsi="Times New Roman" w:eastAsia="宋体"/>
                <w:sz w:val="18"/>
              </w:rPr>
              <w:t>48</w:t>
            </w:r>
          </w:p>
        </w:tc>
        <w:tc>
          <w:tcPr>
            <w:tcW w:type="dxa" w:w="2948"/>
          </w:tcPr>
          <w:p>
            <w:pPr>
              <w:spacing w:line="240" w:lineRule="auto"/>
            </w:pPr>
            <w:r>
              <w:rPr>
                <w:rFonts w:ascii="Times New Roman" w:hAnsi="Times New Roman" w:eastAsia="宋体"/>
                <w:sz w:val="18"/>
              </w:rPr>
              <w:t>compiled_parameter_layout.json</w:t>
            </w:r>
          </w:p>
        </w:tc>
      </w:tr>
      <w:tr>
        <w:tc>
          <w:tcPr>
            <w:tcW w:type="dxa" w:w="2948"/>
          </w:tcPr>
          <w:p>
            <w:pPr>
              <w:spacing w:line="240" w:lineRule="auto"/>
            </w:pPr>
            <w:r>
              <w:rPr>
                <w:rFonts w:ascii="Times New Roman" w:hAnsi="Times New Roman" w:eastAsia="宋体"/>
                <w:sz w:val="18"/>
              </w:rPr>
              <w:t>政策来源文件数</w:t>
            </w:r>
          </w:p>
        </w:tc>
        <w:tc>
          <w:tcPr>
            <w:tcW w:type="dxa" w:w="2948"/>
          </w:tcPr>
          <w:p>
            <w:pPr>
              <w:spacing w:line="240" w:lineRule="auto"/>
            </w:pPr>
            <w:r>
              <w:rPr>
                <w:rFonts w:ascii="Times New Roman" w:hAnsi="Times New Roman" w:eastAsia="宋体"/>
                <w:sz w:val="18"/>
              </w:rPr>
              <w:t>18</w:t>
            </w:r>
          </w:p>
        </w:tc>
        <w:tc>
          <w:tcPr>
            <w:tcW w:type="dxa" w:w="2948"/>
          </w:tcPr>
          <w:p>
            <w:pPr>
              <w:spacing w:line="240" w:lineRule="auto"/>
            </w:pPr>
            <w:r>
              <w:rPr>
                <w:rFonts w:ascii="Times New Roman" w:hAnsi="Times New Roman" w:eastAsia="宋体"/>
                <w:sz w:val="18"/>
              </w:rPr>
              <w:t>policy_file_inventory.csv</w:t>
            </w:r>
          </w:p>
        </w:tc>
      </w:tr>
      <w:tr>
        <w:tc>
          <w:tcPr>
            <w:tcW w:type="dxa" w:w="2948"/>
          </w:tcPr>
          <w:p>
            <w:pPr>
              <w:spacing w:line="240" w:lineRule="auto"/>
            </w:pPr>
            <w:r>
              <w:rPr>
                <w:rFonts w:ascii="Times New Roman" w:hAnsi="Times New Roman" w:eastAsia="宋体"/>
                <w:sz w:val="18"/>
              </w:rPr>
              <w:t>结构化规则数</w:t>
            </w:r>
          </w:p>
        </w:tc>
        <w:tc>
          <w:tcPr>
            <w:tcW w:type="dxa" w:w="2948"/>
          </w:tcPr>
          <w:p>
            <w:pPr>
              <w:spacing w:line="240" w:lineRule="auto"/>
            </w:pPr>
            <w:r>
              <w:rPr>
                <w:rFonts w:ascii="Times New Roman" w:hAnsi="Times New Roman" w:eastAsia="宋体"/>
                <w:sz w:val="18"/>
              </w:rPr>
              <w:t>36</w:t>
            </w:r>
          </w:p>
        </w:tc>
        <w:tc>
          <w:tcPr>
            <w:tcW w:type="dxa" w:w="2948"/>
          </w:tcPr>
          <w:p>
            <w:pPr>
              <w:spacing w:line="240" w:lineRule="auto"/>
            </w:pPr>
            <w:r>
              <w:rPr>
                <w:rFonts w:ascii="Times New Roman" w:hAnsi="Times New Roman" w:eastAsia="宋体"/>
                <w:sz w:val="18"/>
              </w:rPr>
              <w:t>policy_rule_table.csv</w:t>
            </w:r>
          </w:p>
        </w:tc>
      </w:tr>
      <w:tr>
        <w:tc>
          <w:tcPr>
            <w:tcW w:type="dxa" w:w="2948"/>
          </w:tcPr>
          <w:p>
            <w:pPr>
              <w:spacing w:line="240" w:lineRule="auto"/>
            </w:pPr>
            <w:r>
              <w:rPr>
                <w:rFonts w:ascii="Times New Roman" w:hAnsi="Times New Roman" w:eastAsia="宋体"/>
                <w:sz w:val="18"/>
              </w:rPr>
              <w:t>政策解析失败数</w:t>
            </w:r>
          </w:p>
        </w:tc>
        <w:tc>
          <w:tcPr>
            <w:tcW w:type="dxa" w:w="2948"/>
          </w:tcPr>
          <w:p>
            <w:pPr>
              <w:spacing w:line="240" w:lineRule="auto"/>
            </w:pPr>
            <w:r>
              <w:rPr>
                <w:rFonts w:ascii="Times New Roman" w:hAnsi="Times New Roman" w:eastAsia="宋体"/>
                <w:sz w:val="18"/>
              </w:rPr>
              <w:t>0</w:t>
            </w:r>
          </w:p>
        </w:tc>
        <w:tc>
          <w:tcPr>
            <w:tcW w:type="dxa" w:w="2948"/>
          </w:tcPr>
          <w:p>
            <w:pPr>
              <w:spacing w:line="240" w:lineRule="auto"/>
            </w:pPr>
            <w:r>
              <w:rPr>
                <w:rFonts w:ascii="Times New Roman" w:hAnsi="Times New Roman" w:eastAsia="宋体"/>
                <w:sz w:val="18"/>
              </w:rPr>
              <w:t>policy_parse_failures.csv</w:t>
            </w:r>
          </w:p>
        </w:tc>
      </w:tr>
      <w:tr>
        <w:tc>
          <w:tcPr>
            <w:tcW w:type="dxa" w:w="2948"/>
          </w:tcPr>
          <w:p>
            <w:pPr>
              <w:spacing w:line="240" w:lineRule="auto"/>
            </w:pPr>
            <w:r>
              <w:rPr>
                <w:rFonts w:ascii="Times New Roman" w:hAnsi="Times New Roman" w:eastAsia="宋体"/>
                <w:sz w:val="18"/>
              </w:rPr>
              <w:t>滚动测试窗口数</w:t>
            </w:r>
          </w:p>
        </w:tc>
        <w:tc>
          <w:tcPr>
            <w:tcW w:type="dxa" w:w="2948"/>
          </w:tcPr>
          <w:p>
            <w:pPr>
              <w:spacing w:line="240" w:lineRule="auto"/>
            </w:pPr>
            <w:r>
              <w:rPr>
                <w:rFonts w:ascii="Times New Roman" w:hAnsi="Times New Roman" w:eastAsia="宋体"/>
                <w:sz w:val="18"/>
              </w:rPr>
              <w:t>10</w:t>
            </w:r>
          </w:p>
        </w:tc>
        <w:tc>
          <w:tcPr>
            <w:tcW w:type="dxa" w:w="2948"/>
          </w:tcPr>
          <w:p>
            <w:pPr>
              <w:spacing w:line="240" w:lineRule="auto"/>
            </w:pPr>
            <w:r>
              <w:rPr>
                <w:rFonts w:ascii="Times New Roman" w:hAnsi="Times New Roman" w:eastAsia="宋体"/>
                <w:sz w:val="18"/>
              </w:rPr>
              <w:t>rolling_window_schedule.csv</w:t>
            </w:r>
          </w:p>
        </w:tc>
      </w:tr>
      <w:tr>
        <w:tc>
          <w:tcPr>
            <w:tcW w:type="dxa" w:w="2948"/>
          </w:tcPr>
          <w:p>
            <w:pPr>
              <w:spacing w:line="240" w:lineRule="auto"/>
            </w:pPr>
            <w:r>
              <w:rPr>
                <w:rFonts w:ascii="Times New Roman" w:hAnsi="Times New Roman" w:eastAsia="宋体"/>
                <w:sz w:val="18"/>
              </w:rPr>
              <w:t>远程 pipeline 返回码</w:t>
            </w:r>
          </w:p>
        </w:tc>
        <w:tc>
          <w:tcPr>
            <w:tcW w:type="dxa" w:w="2948"/>
          </w:tcPr>
          <w:p>
            <w:pPr>
              <w:spacing w:line="240" w:lineRule="auto"/>
            </w:pPr>
            <w:r>
              <w:rPr>
                <w:rFonts w:ascii="Times New Roman" w:hAnsi="Times New Roman" w:eastAsia="宋体"/>
                <w:sz w:val="18"/>
              </w:rPr>
              <w:t>0</w:t>
            </w:r>
          </w:p>
        </w:tc>
        <w:tc>
          <w:tcPr>
            <w:tcW w:type="dxa" w:w="2948"/>
          </w:tcPr>
          <w:p>
            <w:pPr>
              <w:spacing w:line="240" w:lineRule="auto"/>
            </w:pPr>
            <w:r>
              <w:rPr>
                <w:rFonts w:ascii="Times New Roman" w:hAnsi="Times New Roman" w:eastAsia="宋体"/>
                <w:sz w:val="18"/>
              </w:rPr>
              <w:t>remote_jupyter_run_manifest.json</w:t>
            </w:r>
          </w:p>
        </w:tc>
      </w:tr>
      <w:tr>
        <w:tc>
          <w:tcPr>
            <w:tcW w:type="dxa" w:w="2948"/>
          </w:tcPr>
          <w:p>
            <w:pPr>
              <w:spacing w:line="240" w:lineRule="auto"/>
            </w:pPr>
            <w:r>
              <w:rPr>
                <w:rFonts w:ascii="Times New Roman" w:hAnsi="Times New Roman" w:eastAsia="宋体"/>
                <w:sz w:val="18"/>
              </w:rPr>
              <w:t>远程 pytest 返回码</w:t>
            </w:r>
          </w:p>
        </w:tc>
        <w:tc>
          <w:tcPr>
            <w:tcW w:type="dxa" w:w="2948"/>
          </w:tcPr>
          <w:p>
            <w:pPr>
              <w:spacing w:line="240" w:lineRule="auto"/>
            </w:pPr>
            <w:r>
              <w:rPr>
                <w:rFonts w:ascii="Times New Roman" w:hAnsi="Times New Roman" w:eastAsia="宋体"/>
                <w:sz w:val="18"/>
              </w:rPr>
              <w:t>0</w:t>
            </w:r>
          </w:p>
        </w:tc>
        <w:tc>
          <w:tcPr>
            <w:tcW w:type="dxa" w:w="2948"/>
          </w:tcPr>
          <w:p>
            <w:pPr>
              <w:spacing w:line="240" w:lineRule="auto"/>
            </w:pPr>
            <w:r>
              <w:rPr>
                <w:rFonts w:ascii="Times New Roman" w:hAnsi="Times New Roman" w:eastAsia="宋体"/>
                <w:sz w:val="18"/>
              </w:rPr>
              <w:t>remote_jupyter_run_manifest.json</w:t>
            </w:r>
          </w:p>
        </w:tc>
      </w:tr>
    </w:tbl>
    <w:p>
      <w:pPr>
        <w:spacing w:line="300" w:lineRule="auto"/>
        <w:ind w:firstLine="420"/>
      </w:pPr>
      <w:r>
        <w:rPr>
          <w:rFonts w:ascii="Times New Roman" w:hAnsi="Times New Roman" w:eastAsia="宋体"/>
          <w:sz w:val="22"/>
        </w:rPr>
        <w:t>整体看，v0.50 已形成从政策解析、可行域投影、双层 HPSO 训练、正式验证、滚动回测、基准比较、消融和稳健性检验的完整产物链。实验章据此集中解释正式结果在收益、风险、强基准和制度约束方面反映出的策略特征。</w:t>
      </w:r>
    </w:p>
    <w:p>
      <w:pPr>
        <w:pStyle w:val="Heading2"/>
      </w:pPr>
      <w:r>
        <w:rPr>
          <w:rFonts w:ascii="Times New Roman" w:hAnsi="Times New Roman" w:eastAsia="宋体"/>
          <w:sz w:val="28"/>
        </w:rPr>
        <w:t>5.2 验证集策略表现分析</w:t>
      </w:r>
    </w:p>
    <w:p>
      <w:pPr>
        <w:spacing w:line="300" w:lineRule="auto"/>
        <w:ind w:firstLine="420"/>
      </w:pPr>
      <w:r>
        <w:rPr>
          <w:rFonts w:ascii="Times New Roman" w:hAnsi="Times New Roman" w:eastAsia="宋体"/>
          <w:sz w:val="22"/>
        </w:rPr>
        <w:t>正式验证集覆盖 2026-02-02 至 2026-02-23 四个周度样本。根据 `outputs/v0.50/raw/metrics/validation_metrics.csv`，验证集总体指标如下。</w:t>
      </w:r>
    </w:p>
    <w:tbl>
      <w:tblPr>
        <w:tblStyle w:val="TableGrid"/>
        <w:tblW w:type="auto" w:w="0"/>
        <w:tblLayout w:type="autofit"/>
        <w:tblLook w:firstColumn="1" w:firstRow="1" w:lastColumn="0" w:lastRow="0" w:noHBand="0" w:noVBand="1" w:val="04A0"/>
      </w:tblPr>
      <w:tblGrid>
        <w:gridCol w:w="4422"/>
        <w:gridCol w:w="4422"/>
      </w:tblGrid>
      <w:tr>
        <w:tc>
          <w:tcPr>
            <w:tcW w:type="dxa" w:w="4422"/>
          </w:tcPr>
          <w:p>
            <w:pPr>
              <w:spacing w:line="240" w:lineRule="auto"/>
            </w:pPr>
            <w:r>
              <w:rPr>
                <w:rFonts w:ascii="Times New Roman" w:hAnsi="Times New Roman" w:eastAsia="宋体"/>
                <w:sz w:val="18"/>
              </w:rPr>
              <w:t>指标</w:t>
            </w:r>
          </w:p>
        </w:tc>
        <w:tc>
          <w:tcPr>
            <w:tcW w:type="dxa" w:w="4422"/>
          </w:tcPr>
          <w:p>
            <w:pPr>
              <w:spacing w:line="240" w:lineRule="auto"/>
            </w:pPr>
            <w:r>
              <w:rPr>
                <w:rFonts w:ascii="Times New Roman" w:hAnsi="Times New Roman" w:eastAsia="宋体"/>
                <w:sz w:val="18"/>
              </w:rPr>
              <w:t>数值</w:t>
            </w:r>
          </w:p>
        </w:tc>
      </w:tr>
      <w:tr>
        <w:tc>
          <w:tcPr>
            <w:tcW w:type="dxa" w:w="4422"/>
          </w:tcPr>
          <w:p>
            <w:pPr>
              <w:spacing w:line="240" w:lineRule="auto"/>
            </w:pPr>
            <w:r>
              <w:rPr>
                <w:rFonts w:ascii="Times New Roman" w:hAnsi="Times New Roman" w:eastAsia="宋体"/>
                <w:sz w:val="18"/>
              </w:rPr>
              <w:t>total_procurement_cost</w:t>
            </w:r>
          </w:p>
        </w:tc>
        <w:tc>
          <w:tcPr>
            <w:tcW w:type="dxa" w:w="4422"/>
          </w:tcPr>
          <w:p>
            <w:pPr>
              <w:spacing w:line="240" w:lineRule="auto"/>
            </w:pPr>
            <w:r>
              <w:rPr>
                <w:rFonts w:ascii="Times New Roman" w:hAnsi="Times New Roman" w:eastAsia="宋体"/>
                <w:sz w:val="18"/>
              </w:rPr>
              <w:t>6,050,020,480.00</w:t>
            </w:r>
          </w:p>
        </w:tc>
      </w:tr>
      <w:tr>
        <w:tc>
          <w:tcPr>
            <w:tcW w:type="dxa" w:w="4422"/>
          </w:tcPr>
          <w:p>
            <w:pPr>
              <w:spacing w:line="240" w:lineRule="auto"/>
            </w:pPr>
            <w:r>
              <w:rPr>
                <w:rFonts w:ascii="Times New Roman" w:hAnsi="Times New Roman" w:eastAsia="宋体"/>
                <w:sz w:val="18"/>
              </w:rPr>
              <w:t>total_profit</w:t>
            </w:r>
          </w:p>
        </w:tc>
        <w:tc>
          <w:tcPr>
            <w:tcW w:type="dxa" w:w="4422"/>
          </w:tcPr>
          <w:p>
            <w:pPr>
              <w:spacing w:line="240" w:lineRule="auto"/>
            </w:pPr>
            <w:r>
              <w:rPr>
                <w:rFonts w:ascii="Times New Roman" w:hAnsi="Times New Roman" w:eastAsia="宋体"/>
                <w:sz w:val="18"/>
              </w:rPr>
              <w:t>-55,879,040.00</w:t>
            </w:r>
          </w:p>
        </w:tc>
      </w:tr>
      <w:tr>
        <w:tc>
          <w:tcPr>
            <w:tcW w:type="dxa" w:w="4422"/>
          </w:tcPr>
          <w:p>
            <w:pPr>
              <w:spacing w:line="240" w:lineRule="auto"/>
            </w:pPr>
            <w:r>
              <w:rPr>
                <w:rFonts w:ascii="Times New Roman" w:hAnsi="Times New Roman" w:eastAsia="宋体"/>
                <w:sz w:val="18"/>
              </w:rPr>
              <w:t>weekly_cost_volatility</w:t>
            </w:r>
          </w:p>
        </w:tc>
        <w:tc>
          <w:tcPr>
            <w:tcW w:type="dxa" w:w="4422"/>
          </w:tcPr>
          <w:p>
            <w:pPr>
              <w:spacing w:line="240" w:lineRule="auto"/>
            </w:pPr>
            <w:r>
              <w:rPr>
                <w:rFonts w:ascii="Times New Roman" w:hAnsi="Times New Roman" w:eastAsia="宋体"/>
                <w:sz w:val="18"/>
              </w:rPr>
              <w:t>231,947,418.51</w:t>
            </w:r>
          </w:p>
        </w:tc>
      </w:tr>
      <w:tr>
        <w:tc>
          <w:tcPr>
            <w:tcW w:type="dxa" w:w="4422"/>
          </w:tcPr>
          <w:p>
            <w:pPr>
              <w:spacing w:line="240" w:lineRule="auto"/>
            </w:pPr>
            <w:r>
              <w:rPr>
                <w:rFonts w:ascii="Times New Roman" w:hAnsi="Times New Roman" w:eastAsia="宋体"/>
                <w:sz w:val="18"/>
              </w:rPr>
              <w:t>cvar99</w:t>
            </w:r>
          </w:p>
        </w:tc>
        <w:tc>
          <w:tcPr>
            <w:tcW w:type="dxa" w:w="4422"/>
          </w:tcPr>
          <w:p>
            <w:pPr>
              <w:spacing w:line="240" w:lineRule="auto"/>
            </w:pPr>
            <w:r>
              <w:rPr>
                <w:rFonts w:ascii="Times New Roman" w:hAnsi="Times New Roman" w:eastAsia="宋体"/>
                <w:sz w:val="18"/>
              </w:rPr>
              <w:t>5,457,256.25</w:t>
            </w:r>
          </w:p>
        </w:tc>
      </w:tr>
      <w:tr>
        <w:tc>
          <w:tcPr>
            <w:tcW w:type="dxa" w:w="4422"/>
          </w:tcPr>
          <w:p>
            <w:pPr>
              <w:spacing w:line="240" w:lineRule="auto"/>
            </w:pPr>
            <w:r>
              <w:rPr>
                <w:rFonts w:ascii="Times New Roman" w:hAnsi="Times New Roman" w:eastAsia="宋体"/>
                <w:sz w:val="18"/>
              </w:rPr>
              <w:t>hedge_error</w:t>
            </w:r>
          </w:p>
        </w:tc>
        <w:tc>
          <w:tcPr>
            <w:tcW w:type="dxa" w:w="4422"/>
          </w:tcPr>
          <w:p>
            <w:pPr>
              <w:spacing w:line="240" w:lineRule="auto"/>
            </w:pPr>
            <w:r>
              <w:rPr>
                <w:rFonts w:ascii="Times New Roman" w:hAnsi="Times New Roman" w:eastAsia="宋体"/>
                <w:sz w:val="18"/>
              </w:rPr>
              <w:t>0.518624</w:t>
            </w:r>
          </w:p>
        </w:tc>
      </w:tr>
      <w:tr>
        <w:tc>
          <w:tcPr>
            <w:tcW w:type="dxa" w:w="4422"/>
          </w:tcPr>
          <w:p>
            <w:pPr>
              <w:spacing w:line="240" w:lineRule="auto"/>
            </w:pPr>
            <w:r>
              <w:rPr>
                <w:rFonts w:ascii="Times New Roman" w:hAnsi="Times New Roman" w:eastAsia="宋体"/>
                <w:sz w:val="18"/>
              </w:rPr>
              <w:t>avg_adjustment_mwh</w:t>
            </w:r>
          </w:p>
        </w:tc>
        <w:tc>
          <w:tcPr>
            <w:tcW w:type="dxa" w:w="4422"/>
          </w:tcPr>
          <w:p>
            <w:pPr>
              <w:spacing w:line="240" w:lineRule="auto"/>
            </w:pPr>
            <w:r>
              <w:rPr>
                <w:rFonts w:ascii="Times New Roman" w:hAnsi="Times New Roman" w:eastAsia="宋体"/>
                <w:sz w:val="18"/>
              </w:rPr>
              <w:t>0.00</w:t>
            </w:r>
          </w:p>
        </w:tc>
      </w:tr>
      <w:tr>
        <w:tc>
          <w:tcPr>
            <w:tcW w:type="dxa" w:w="4422"/>
          </w:tcPr>
          <w:p>
            <w:pPr>
              <w:spacing w:line="240" w:lineRule="auto"/>
            </w:pPr>
            <w:r>
              <w:rPr>
                <w:rFonts w:ascii="Times New Roman" w:hAnsi="Times New Roman" w:eastAsia="宋体"/>
                <w:sz w:val="18"/>
              </w:rPr>
              <w:t>mean_reward</w:t>
            </w:r>
          </w:p>
        </w:tc>
        <w:tc>
          <w:tcPr>
            <w:tcW w:type="dxa" w:w="4422"/>
          </w:tcPr>
          <w:p>
            <w:pPr>
              <w:spacing w:line="240" w:lineRule="auto"/>
            </w:pPr>
            <w:r>
              <w:rPr>
                <w:rFonts w:ascii="Times New Roman" w:hAnsi="Times New Roman" w:eastAsia="宋体"/>
                <w:sz w:val="18"/>
              </w:rPr>
              <w:t>-198,355,412.00</w:t>
            </w:r>
          </w:p>
        </w:tc>
      </w:tr>
      <w:tr>
        <w:tc>
          <w:tcPr>
            <w:tcW w:type="dxa" w:w="4422"/>
          </w:tcPr>
          <w:p>
            <w:pPr>
              <w:spacing w:line="240" w:lineRule="auto"/>
            </w:pPr>
            <w:r>
              <w:rPr>
                <w:rFonts w:ascii="Times New Roman" w:hAnsi="Times New Roman" w:eastAsia="宋体"/>
                <w:sz w:val="18"/>
              </w:rPr>
              <w:t>max_drawdown</w:t>
            </w:r>
          </w:p>
        </w:tc>
        <w:tc>
          <w:tcPr>
            <w:tcW w:type="dxa" w:w="4422"/>
          </w:tcPr>
          <w:p>
            <w:pPr>
              <w:spacing w:line="240" w:lineRule="auto"/>
            </w:pPr>
            <w:r>
              <w:rPr>
                <w:rFonts w:ascii="Times New Roman" w:hAnsi="Times New Roman" w:eastAsia="宋体"/>
                <w:sz w:val="18"/>
              </w:rPr>
              <w:t>26,777,716.00</w:t>
            </w:r>
          </w:p>
        </w:tc>
      </w:tr>
      <w:tr>
        <w:tc>
          <w:tcPr>
            <w:tcW w:type="dxa" w:w="4422"/>
          </w:tcPr>
          <w:p>
            <w:pPr>
              <w:spacing w:line="240" w:lineRule="auto"/>
            </w:pPr>
            <w:r>
              <w:rPr>
                <w:rFonts w:ascii="Times New Roman" w:hAnsi="Times New Roman" w:eastAsia="宋体"/>
                <w:sz w:val="18"/>
              </w:rPr>
              <w:t>feasible_domain_trigger_weeks</w:t>
            </w:r>
          </w:p>
        </w:tc>
        <w:tc>
          <w:tcPr>
            <w:tcW w:type="dxa" w:w="4422"/>
          </w:tcPr>
          <w:p>
            <w:pPr>
              <w:spacing w:line="240" w:lineRule="auto"/>
            </w:pPr>
            <w:r>
              <w:rPr>
                <w:rFonts w:ascii="Times New Roman" w:hAnsi="Times New Roman" w:eastAsia="宋体"/>
                <w:sz w:val="18"/>
              </w:rPr>
              <w:t>4</w:t>
            </w:r>
          </w:p>
        </w:tc>
      </w:tr>
    </w:tbl>
    <w:p>
      <w:pPr>
        <w:spacing w:line="300" w:lineRule="auto"/>
        <w:ind w:firstLine="420"/>
      </w:pPr>
      <w:r>
        <w:rPr>
          <w:rFonts w:ascii="Times New Roman" w:hAnsi="Times New Roman" w:eastAsia="宋体"/>
          <w:sz w:val="22"/>
        </w:rPr>
        <w:t>验证集结果首先说明，主模型在该时段没有形成正累计收益。四个验证周均触发可行域约束，说明制度状态对策略空间具有持续影响。`avg_adjustment_mwh=0` 则表明验证集中小时级现货修正没有形成实际净交易量，利润结果主要由周度底仓、价格口径和偏差结算共同决定。</w:t>
      </w:r>
    </w:p>
    <w:p>
      <w:pPr>
        <w:spacing w:line="300" w:lineRule="auto"/>
        <w:ind w:firstLine="420"/>
      </w:pPr>
      <w:r>
        <w:rPr>
          <w:rFonts w:ascii="Times New Roman" w:hAnsi="Times New Roman" w:eastAsia="宋体"/>
          <w:sz w:val="22"/>
        </w:rPr>
        <w:t>从 `outputs/v0.50/raw/metrics/validation_weekly_results.csv` 看，四个验证周相对强基准的超额收益均为负。</w:t>
      </w:r>
    </w:p>
    <w:tbl>
      <w:tblPr>
        <w:tblStyle w:val="TableGrid"/>
        <w:tblW w:type="auto" w:w="0"/>
        <w:tblLayout w:type="autofit"/>
        <w:tblLook w:firstColumn="1" w:firstRow="1" w:lastColumn="0" w:lastRow="0" w:noHBand="0" w:noVBand="1" w:val="04A0"/>
      </w:tblPr>
      <w:tblGrid>
        <w:gridCol w:w="983"/>
        <w:gridCol w:w="983"/>
        <w:gridCol w:w="983"/>
        <w:gridCol w:w="983"/>
        <w:gridCol w:w="983"/>
        <w:gridCol w:w="983"/>
        <w:gridCol w:w="983"/>
        <w:gridCol w:w="983"/>
        <w:gridCol w:w="983"/>
      </w:tblGrid>
      <w:tr>
        <w:tc>
          <w:tcPr>
            <w:tcW w:type="dxa" w:w="983"/>
          </w:tcPr>
          <w:p>
            <w:pPr>
              <w:spacing w:line="240" w:lineRule="auto"/>
            </w:pPr>
            <w:r>
              <w:rPr>
                <w:rFonts w:ascii="Times New Roman" w:hAnsi="Times New Roman" w:eastAsia="宋体"/>
                <w:sz w:val="18"/>
              </w:rPr>
              <w:t>week_start</w:t>
            </w:r>
          </w:p>
        </w:tc>
        <w:tc>
          <w:tcPr>
            <w:tcW w:type="dxa" w:w="983"/>
          </w:tcPr>
          <w:p>
            <w:pPr>
              <w:spacing w:line="240" w:lineRule="auto"/>
            </w:pPr>
            <w:r>
              <w:rPr>
                <w:rFonts w:ascii="Times New Roman" w:hAnsi="Times New Roman" w:eastAsia="宋体"/>
                <w:sz w:val="18"/>
              </w:rPr>
              <w:t>lock_ratio_final</w:t>
            </w:r>
          </w:p>
        </w:tc>
        <w:tc>
          <w:tcPr>
            <w:tcW w:type="dxa" w:w="983"/>
          </w:tcPr>
          <w:p>
            <w:pPr>
              <w:spacing w:line="240" w:lineRule="auto"/>
            </w:pPr>
            <w:r>
              <w:rPr>
                <w:rFonts w:ascii="Times New Roman" w:hAnsi="Times New Roman" w:eastAsia="宋体"/>
                <w:sz w:val="18"/>
              </w:rPr>
              <w:t>profit_w</w:t>
            </w:r>
          </w:p>
        </w:tc>
        <w:tc>
          <w:tcPr>
            <w:tcW w:type="dxa" w:w="983"/>
          </w:tcPr>
          <w:p>
            <w:pPr>
              <w:spacing w:line="240" w:lineRule="auto"/>
            </w:pPr>
            <w:r>
              <w:rPr>
                <w:rFonts w:ascii="Times New Roman" w:hAnsi="Times New Roman" w:eastAsia="宋体"/>
                <w:sz w:val="18"/>
              </w:rPr>
              <w:t>profit_baseline_w</w:t>
            </w:r>
          </w:p>
        </w:tc>
        <w:tc>
          <w:tcPr>
            <w:tcW w:type="dxa" w:w="983"/>
          </w:tcPr>
          <w:p>
            <w:pPr>
              <w:spacing w:line="240" w:lineRule="auto"/>
            </w:pPr>
            <w:r>
              <w:rPr>
                <w:rFonts w:ascii="Times New Roman" w:hAnsi="Times New Roman" w:eastAsia="宋体"/>
                <w:sz w:val="18"/>
              </w:rPr>
              <w:t>excess_profit_w</w:t>
            </w:r>
          </w:p>
        </w:tc>
        <w:tc>
          <w:tcPr>
            <w:tcW w:type="dxa" w:w="983"/>
          </w:tcPr>
          <w:p>
            <w:pPr>
              <w:spacing w:line="240" w:lineRule="auto"/>
            </w:pPr>
            <w:r>
              <w:rPr>
                <w:rFonts w:ascii="Times New Roman" w:hAnsi="Times New Roman" w:eastAsia="宋体"/>
                <w:sz w:val="18"/>
              </w:rPr>
              <w:t>cvar99_w</w:t>
            </w:r>
          </w:p>
        </w:tc>
        <w:tc>
          <w:tcPr>
            <w:tcW w:type="dxa" w:w="983"/>
          </w:tcPr>
          <w:p>
            <w:pPr>
              <w:spacing w:line="240" w:lineRule="auto"/>
            </w:pPr>
            <w:r>
              <w:rPr>
                <w:rFonts w:ascii="Times New Roman" w:hAnsi="Times New Roman" w:eastAsia="宋体"/>
                <w:sz w:val="18"/>
              </w:rPr>
              <w:t>bound_reason_code</w:t>
            </w:r>
          </w:p>
        </w:tc>
        <w:tc>
          <w:tcPr>
            <w:tcW w:type="dxa" w:w="983"/>
          </w:tcPr>
          <w:p>
            <w:pPr>
              <w:spacing w:line="240" w:lineRule="auto"/>
            </w:pPr>
            <w:r>
              <w:rPr>
                <w:rFonts w:ascii="Times New Roman" w:hAnsi="Times New Roman" w:eastAsia="宋体"/>
                <w:sz w:val="18"/>
              </w:rPr>
            </w:r>
          </w:p>
        </w:tc>
        <w:tc>
          <w:tcPr>
            <w:tcW w:type="dxa" w:w="983"/>
          </w:tcPr>
          <w:p>
            <w:pPr>
              <w:spacing w:line="240" w:lineRule="auto"/>
            </w:pPr>
            <w:r>
              <w:rPr>
                <w:rFonts w:ascii="Times New Roman" w:hAnsi="Times New Roman" w:eastAsia="宋体"/>
                <w:sz w:val="18"/>
              </w:rPr>
            </w:r>
          </w:p>
        </w:tc>
      </w:tr>
      <w:tr>
        <w:tc>
          <w:tcPr>
            <w:tcW w:type="dxa" w:w="983"/>
          </w:tcPr>
          <w:p>
            <w:pPr>
              <w:spacing w:line="240" w:lineRule="auto"/>
            </w:pPr>
            <w:r>
              <w:rPr>
                <w:rFonts w:ascii="Times New Roman" w:hAnsi="Times New Roman" w:eastAsia="宋体"/>
                <w:sz w:val="18"/>
              </w:rPr>
              <w:t>2026-02-02</w:t>
            </w:r>
          </w:p>
        </w:tc>
        <w:tc>
          <w:tcPr>
            <w:tcW w:type="dxa" w:w="983"/>
          </w:tcPr>
          <w:p>
            <w:pPr>
              <w:spacing w:line="240" w:lineRule="auto"/>
            </w:pPr>
            <w:r>
              <w:rPr>
                <w:rFonts w:ascii="Times New Roman" w:hAnsi="Times New Roman" w:eastAsia="宋体"/>
                <w:sz w:val="18"/>
              </w:rPr>
              <w:t>0.48</w:t>
            </w:r>
          </w:p>
        </w:tc>
        <w:tc>
          <w:tcPr>
            <w:tcW w:type="dxa" w:w="983"/>
          </w:tcPr>
          <w:p>
            <w:pPr>
              <w:spacing w:line="240" w:lineRule="auto"/>
            </w:pPr>
            <w:r>
              <w:rPr>
                <w:rFonts w:ascii="Times New Roman" w:hAnsi="Times New Roman" w:eastAsia="宋体"/>
                <w:sz w:val="18"/>
              </w:rPr>
              <w:t>-130,382,296</w:t>
            </w:r>
          </w:p>
        </w:tc>
        <w:tc>
          <w:tcPr>
            <w:tcW w:type="dxa" w:w="983"/>
          </w:tcPr>
          <w:p>
            <w:pPr>
              <w:spacing w:line="240" w:lineRule="auto"/>
            </w:pPr>
            <w:r>
              <w:rPr>
                <w:rFonts w:ascii="Times New Roman" w:hAnsi="Times New Roman" w:eastAsia="宋体"/>
                <w:sz w:val="18"/>
              </w:rPr>
              <w:t>122,191,104</w:t>
            </w:r>
          </w:p>
        </w:tc>
        <w:tc>
          <w:tcPr>
            <w:tcW w:type="dxa" w:w="983"/>
          </w:tcPr>
          <w:p>
            <w:pPr>
              <w:spacing w:line="240" w:lineRule="auto"/>
            </w:pPr>
            <w:r>
              <w:rPr>
                <w:rFonts w:ascii="Times New Roman" w:hAnsi="Times New Roman" w:eastAsia="宋体"/>
                <w:sz w:val="18"/>
              </w:rPr>
              <w:t>-252,573,408</w:t>
            </w:r>
          </w:p>
        </w:tc>
        <w:tc>
          <w:tcPr>
            <w:tcW w:type="dxa" w:w="983"/>
          </w:tcPr>
          <w:p>
            <w:pPr>
              <w:spacing w:line="240" w:lineRule="auto"/>
            </w:pPr>
            <w:r>
              <w:rPr>
                <w:rFonts w:ascii="Times New Roman" w:hAnsi="Times New Roman" w:eastAsia="宋体"/>
                <w:sz w:val="18"/>
              </w:rPr>
              <w:t>6,637,969.50</w:t>
            </w:r>
          </w:p>
        </w:tc>
        <w:tc>
          <w:tcPr>
            <w:tcW w:type="dxa" w:w="983"/>
          </w:tcPr>
          <w:p>
            <w:pPr>
              <w:spacing w:line="240" w:lineRule="auto"/>
            </w:pPr>
            <w:r>
              <w:rPr>
                <w:rFonts w:ascii="Times New Roman" w:hAnsi="Times New Roman" w:eastAsia="宋体"/>
                <w:sz w:val="18"/>
              </w:rPr>
              <w:t>lt_price_linked\</w:t>
            </w:r>
          </w:p>
        </w:tc>
        <w:tc>
          <w:tcPr>
            <w:tcW w:type="dxa" w:w="983"/>
          </w:tcPr>
          <w:p>
            <w:pPr>
              <w:spacing w:line="240" w:lineRule="auto"/>
            </w:pPr>
            <w:r>
              <w:rPr>
                <w:rFonts w:ascii="Times New Roman" w:hAnsi="Times New Roman" w:eastAsia="宋体"/>
                <w:sz w:val="18"/>
              </w:rPr>
              <w:t>ancillary_tight\</w:t>
            </w:r>
          </w:p>
        </w:tc>
        <w:tc>
          <w:tcPr>
            <w:tcW w:type="dxa" w:w="983"/>
          </w:tcPr>
          <w:p>
            <w:pPr>
              <w:spacing w:line="240" w:lineRule="auto"/>
            </w:pPr>
            <w:r>
              <w:rPr>
                <w:rFonts w:ascii="Times New Roman" w:hAnsi="Times New Roman" w:eastAsia="宋体"/>
                <w:sz w:val="18"/>
              </w:rPr>
              <w:t>renewable_active</w:t>
            </w:r>
          </w:p>
        </w:tc>
      </w:tr>
      <w:tr>
        <w:tc>
          <w:tcPr>
            <w:tcW w:type="dxa" w:w="983"/>
          </w:tcPr>
          <w:p>
            <w:pPr>
              <w:spacing w:line="240" w:lineRule="auto"/>
            </w:pPr>
            <w:r>
              <w:rPr>
                <w:rFonts w:ascii="Times New Roman" w:hAnsi="Times New Roman" w:eastAsia="宋体"/>
                <w:sz w:val="18"/>
              </w:rPr>
              <w:t>2026-02-09</w:t>
            </w:r>
          </w:p>
        </w:tc>
        <w:tc>
          <w:tcPr>
            <w:tcW w:type="dxa" w:w="983"/>
          </w:tcPr>
          <w:p>
            <w:pPr>
              <w:spacing w:line="240" w:lineRule="auto"/>
            </w:pPr>
            <w:r>
              <w:rPr>
                <w:rFonts w:ascii="Times New Roman" w:hAnsi="Times New Roman" w:eastAsia="宋体"/>
                <w:sz w:val="18"/>
              </w:rPr>
              <w:t>0.48</w:t>
            </w:r>
          </w:p>
        </w:tc>
        <w:tc>
          <w:tcPr>
            <w:tcW w:type="dxa" w:w="983"/>
          </w:tcPr>
          <w:p>
            <w:pPr>
              <w:spacing w:line="240" w:lineRule="auto"/>
            </w:pPr>
            <w:r>
              <w:rPr>
                <w:rFonts w:ascii="Times New Roman" w:hAnsi="Times New Roman" w:eastAsia="宋体"/>
                <w:sz w:val="18"/>
              </w:rPr>
              <w:t>17,646,612</w:t>
            </w:r>
          </w:p>
        </w:tc>
        <w:tc>
          <w:tcPr>
            <w:tcW w:type="dxa" w:w="983"/>
          </w:tcPr>
          <w:p>
            <w:pPr>
              <w:spacing w:line="240" w:lineRule="auto"/>
            </w:pPr>
            <w:r>
              <w:rPr>
                <w:rFonts w:ascii="Times New Roman" w:hAnsi="Times New Roman" w:eastAsia="宋体"/>
                <w:sz w:val="18"/>
              </w:rPr>
              <w:t>228,253,696</w:t>
            </w:r>
          </w:p>
        </w:tc>
        <w:tc>
          <w:tcPr>
            <w:tcW w:type="dxa" w:w="983"/>
          </w:tcPr>
          <w:p>
            <w:pPr>
              <w:spacing w:line="240" w:lineRule="auto"/>
            </w:pPr>
            <w:r>
              <w:rPr>
                <w:rFonts w:ascii="Times New Roman" w:hAnsi="Times New Roman" w:eastAsia="宋体"/>
                <w:sz w:val="18"/>
              </w:rPr>
              <w:t>-210,607,088</w:t>
            </w:r>
          </w:p>
        </w:tc>
        <w:tc>
          <w:tcPr>
            <w:tcW w:type="dxa" w:w="983"/>
          </w:tcPr>
          <w:p>
            <w:pPr>
              <w:spacing w:line="240" w:lineRule="auto"/>
            </w:pPr>
            <w:r>
              <w:rPr>
                <w:rFonts w:ascii="Times New Roman" w:hAnsi="Times New Roman" w:eastAsia="宋体"/>
                <w:sz w:val="18"/>
              </w:rPr>
              <w:t>5,844,641.00</w:t>
            </w:r>
          </w:p>
        </w:tc>
        <w:tc>
          <w:tcPr>
            <w:tcW w:type="dxa" w:w="983"/>
          </w:tcPr>
          <w:p>
            <w:pPr>
              <w:spacing w:line="240" w:lineRule="auto"/>
            </w:pPr>
            <w:r>
              <w:rPr>
                <w:rFonts w:ascii="Times New Roman" w:hAnsi="Times New Roman" w:eastAsia="宋体"/>
                <w:sz w:val="18"/>
              </w:rPr>
              <w:t>lt_price_linked\</w:t>
            </w:r>
          </w:p>
        </w:tc>
        <w:tc>
          <w:tcPr>
            <w:tcW w:type="dxa" w:w="983"/>
          </w:tcPr>
          <w:p>
            <w:pPr>
              <w:spacing w:line="240" w:lineRule="auto"/>
            </w:pPr>
            <w:r>
              <w:rPr>
                <w:rFonts w:ascii="Times New Roman" w:hAnsi="Times New Roman" w:eastAsia="宋体"/>
                <w:sz w:val="18"/>
              </w:rPr>
              <w:t>ancillary_tight\</w:t>
            </w:r>
          </w:p>
        </w:tc>
        <w:tc>
          <w:tcPr>
            <w:tcW w:type="dxa" w:w="983"/>
          </w:tcPr>
          <w:p>
            <w:pPr>
              <w:spacing w:line="240" w:lineRule="auto"/>
            </w:pPr>
            <w:r>
              <w:rPr>
                <w:rFonts w:ascii="Times New Roman" w:hAnsi="Times New Roman" w:eastAsia="宋体"/>
                <w:sz w:val="18"/>
              </w:rPr>
              <w:t>renewable_active</w:t>
            </w:r>
          </w:p>
        </w:tc>
      </w:tr>
      <w:tr>
        <w:tc>
          <w:tcPr>
            <w:tcW w:type="dxa" w:w="983"/>
          </w:tcPr>
          <w:p>
            <w:pPr>
              <w:spacing w:line="240" w:lineRule="auto"/>
            </w:pPr>
            <w:r>
              <w:rPr>
                <w:rFonts w:ascii="Times New Roman" w:hAnsi="Times New Roman" w:eastAsia="宋体"/>
                <w:sz w:val="18"/>
              </w:rPr>
              <w:t>2026-02-16</w:t>
            </w:r>
          </w:p>
        </w:tc>
        <w:tc>
          <w:tcPr>
            <w:tcW w:type="dxa" w:w="983"/>
          </w:tcPr>
          <w:p>
            <w:pPr>
              <w:spacing w:line="240" w:lineRule="auto"/>
            </w:pPr>
            <w:r>
              <w:rPr>
                <w:rFonts w:ascii="Times New Roman" w:hAnsi="Times New Roman" w:eastAsia="宋体"/>
                <w:sz w:val="18"/>
              </w:rPr>
              <w:t>0.48</w:t>
            </w:r>
          </w:p>
        </w:tc>
        <w:tc>
          <w:tcPr>
            <w:tcW w:type="dxa" w:w="983"/>
          </w:tcPr>
          <w:p>
            <w:pPr>
              <w:spacing w:line="240" w:lineRule="auto"/>
            </w:pPr>
            <w:r>
              <w:rPr>
                <w:rFonts w:ascii="Times New Roman" w:hAnsi="Times New Roman" w:eastAsia="宋体"/>
                <w:sz w:val="18"/>
              </w:rPr>
              <w:t>83,634,360</w:t>
            </w:r>
          </w:p>
        </w:tc>
        <w:tc>
          <w:tcPr>
            <w:tcW w:type="dxa" w:w="983"/>
          </w:tcPr>
          <w:p>
            <w:pPr>
              <w:spacing w:line="240" w:lineRule="auto"/>
            </w:pPr>
            <w:r>
              <w:rPr>
                <w:rFonts w:ascii="Times New Roman" w:hAnsi="Times New Roman" w:eastAsia="宋体"/>
                <w:sz w:val="18"/>
              </w:rPr>
              <w:t>207,379,072</w:t>
            </w:r>
          </w:p>
        </w:tc>
        <w:tc>
          <w:tcPr>
            <w:tcW w:type="dxa" w:w="983"/>
          </w:tcPr>
          <w:p>
            <w:pPr>
              <w:spacing w:line="240" w:lineRule="auto"/>
            </w:pPr>
            <w:r>
              <w:rPr>
                <w:rFonts w:ascii="Times New Roman" w:hAnsi="Times New Roman" w:eastAsia="宋体"/>
                <w:sz w:val="18"/>
              </w:rPr>
              <w:t>-123,744,712</w:t>
            </w:r>
          </w:p>
        </w:tc>
        <w:tc>
          <w:tcPr>
            <w:tcW w:type="dxa" w:w="983"/>
          </w:tcPr>
          <w:p>
            <w:pPr>
              <w:spacing w:line="240" w:lineRule="auto"/>
            </w:pPr>
            <w:r>
              <w:rPr>
                <w:rFonts w:ascii="Times New Roman" w:hAnsi="Times New Roman" w:eastAsia="宋体"/>
                <w:sz w:val="18"/>
              </w:rPr>
              <w:t>4,423,858.50</w:t>
            </w:r>
          </w:p>
        </w:tc>
        <w:tc>
          <w:tcPr>
            <w:tcW w:type="dxa" w:w="983"/>
          </w:tcPr>
          <w:p>
            <w:pPr>
              <w:spacing w:line="240" w:lineRule="auto"/>
            </w:pPr>
            <w:r>
              <w:rPr>
                <w:rFonts w:ascii="Times New Roman" w:hAnsi="Times New Roman" w:eastAsia="宋体"/>
                <w:sz w:val="18"/>
              </w:rPr>
              <w:t>lt_price_linked\</w:t>
            </w:r>
          </w:p>
        </w:tc>
        <w:tc>
          <w:tcPr>
            <w:tcW w:type="dxa" w:w="983"/>
          </w:tcPr>
          <w:p>
            <w:pPr>
              <w:spacing w:line="240" w:lineRule="auto"/>
            </w:pPr>
            <w:r>
              <w:rPr>
                <w:rFonts w:ascii="Times New Roman" w:hAnsi="Times New Roman" w:eastAsia="宋体"/>
                <w:sz w:val="18"/>
              </w:rPr>
              <w:t>ancillary_tight\</w:t>
            </w:r>
          </w:p>
        </w:tc>
        <w:tc>
          <w:tcPr>
            <w:tcW w:type="dxa" w:w="983"/>
          </w:tcPr>
          <w:p>
            <w:pPr>
              <w:spacing w:line="240" w:lineRule="auto"/>
            </w:pPr>
            <w:r>
              <w:rPr>
                <w:rFonts w:ascii="Times New Roman" w:hAnsi="Times New Roman" w:eastAsia="宋体"/>
                <w:sz w:val="18"/>
              </w:rPr>
              <w:t>renewable_active</w:t>
            </w:r>
          </w:p>
        </w:tc>
      </w:tr>
      <w:tr>
        <w:tc>
          <w:tcPr>
            <w:tcW w:type="dxa" w:w="983"/>
          </w:tcPr>
          <w:p>
            <w:pPr>
              <w:spacing w:line="240" w:lineRule="auto"/>
            </w:pPr>
            <w:r>
              <w:rPr>
                <w:rFonts w:ascii="Times New Roman" w:hAnsi="Times New Roman" w:eastAsia="宋体"/>
                <w:sz w:val="18"/>
              </w:rPr>
              <w:t>2026-02-23</w:t>
            </w:r>
          </w:p>
        </w:tc>
        <w:tc>
          <w:tcPr>
            <w:tcW w:type="dxa" w:w="983"/>
          </w:tcPr>
          <w:p>
            <w:pPr>
              <w:spacing w:line="240" w:lineRule="auto"/>
            </w:pPr>
            <w:r>
              <w:rPr>
                <w:rFonts w:ascii="Times New Roman" w:hAnsi="Times New Roman" w:eastAsia="宋体"/>
                <w:sz w:val="18"/>
              </w:rPr>
              <w:t>0.48</w:t>
            </w:r>
          </w:p>
        </w:tc>
        <w:tc>
          <w:tcPr>
            <w:tcW w:type="dxa" w:w="983"/>
          </w:tcPr>
          <w:p>
            <w:pPr>
              <w:spacing w:line="240" w:lineRule="auto"/>
            </w:pPr>
            <w:r>
              <w:rPr>
                <w:rFonts w:ascii="Times New Roman" w:hAnsi="Times New Roman" w:eastAsia="宋体"/>
                <w:sz w:val="18"/>
              </w:rPr>
              <w:t>-26,777,716</w:t>
            </w:r>
          </w:p>
        </w:tc>
        <w:tc>
          <w:tcPr>
            <w:tcW w:type="dxa" w:w="983"/>
          </w:tcPr>
          <w:p>
            <w:pPr>
              <w:spacing w:line="240" w:lineRule="auto"/>
            </w:pPr>
            <w:r>
              <w:rPr>
                <w:rFonts w:ascii="Times New Roman" w:hAnsi="Times New Roman" w:eastAsia="宋体"/>
                <w:sz w:val="18"/>
              </w:rPr>
              <w:t>162,310,528</w:t>
            </w:r>
          </w:p>
        </w:tc>
        <w:tc>
          <w:tcPr>
            <w:tcW w:type="dxa" w:w="983"/>
          </w:tcPr>
          <w:p>
            <w:pPr>
              <w:spacing w:line="240" w:lineRule="auto"/>
            </w:pPr>
            <w:r>
              <w:rPr>
                <w:rFonts w:ascii="Times New Roman" w:hAnsi="Times New Roman" w:eastAsia="宋体"/>
                <w:sz w:val="18"/>
              </w:rPr>
              <w:t>-189,088,240</w:t>
            </w:r>
          </w:p>
        </w:tc>
        <w:tc>
          <w:tcPr>
            <w:tcW w:type="dxa" w:w="983"/>
          </w:tcPr>
          <w:p>
            <w:pPr>
              <w:spacing w:line="240" w:lineRule="auto"/>
            </w:pPr>
            <w:r>
              <w:rPr>
                <w:rFonts w:ascii="Times New Roman" w:hAnsi="Times New Roman" w:eastAsia="宋体"/>
                <w:sz w:val="18"/>
              </w:rPr>
              <w:t>4,922,556.00</w:t>
            </w:r>
          </w:p>
        </w:tc>
        <w:tc>
          <w:tcPr>
            <w:tcW w:type="dxa" w:w="983"/>
          </w:tcPr>
          <w:p>
            <w:pPr>
              <w:spacing w:line="240" w:lineRule="auto"/>
            </w:pPr>
            <w:r>
              <w:rPr>
                <w:rFonts w:ascii="Times New Roman" w:hAnsi="Times New Roman" w:eastAsia="宋体"/>
                <w:sz w:val="18"/>
              </w:rPr>
              <w:t>lt_price_linked\</w:t>
            </w:r>
          </w:p>
        </w:tc>
        <w:tc>
          <w:tcPr>
            <w:tcW w:type="dxa" w:w="983"/>
          </w:tcPr>
          <w:p>
            <w:pPr>
              <w:spacing w:line="240" w:lineRule="auto"/>
            </w:pPr>
            <w:r>
              <w:rPr>
                <w:rFonts w:ascii="Times New Roman" w:hAnsi="Times New Roman" w:eastAsia="宋体"/>
                <w:sz w:val="18"/>
              </w:rPr>
              <w:t>ancillary_tight\</w:t>
            </w:r>
          </w:p>
        </w:tc>
        <w:tc>
          <w:tcPr>
            <w:tcW w:type="dxa" w:w="983"/>
          </w:tcPr>
          <w:p>
            <w:pPr>
              <w:spacing w:line="240" w:lineRule="auto"/>
            </w:pPr>
            <w:r>
              <w:rPr>
                <w:rFonts w:ascii="Times New Roman" w:hAnsi="Times New Roman" w:eastAsia="宋体"/>
                <w:sz w:val="18"/>
              </w:rPr>
              <w:t>renewable_active</w:t>
            </w:r>
          </w:p>
        </w:tc>
      </w:tr>
    </w:tbl>
    <w:p>
      <w:pPr>
        <w:spacing w:line="300" w:lineRule="auto"/>
        <w:ind w:firstLine="420"/>
      </w:pPr>
      <w:r>
        <w:rPr>
          <w:rFonts w:ascii="Times New Roman" w:hAnsi="Times New Roman" w:eastAsia="宋体"/>
          <w:sz w:val="22"/>
        </w:rPr>
        <w:t>这组结果要求论文结论保持克制。主模型在验证集中的价值不表现为收益显著超过强基准，而表现为提供了可解释的制度投影、底仓调整和风险指标链条。四周 `lock_ratio_final` 均为 0.48，说明 2026-02 以后价格联动和辅助服务收紧状态使原始合约调整被投影到较保守的持仓水平。</w:t>
      </w:r>
    </w:p>
    <w:p>
      <w:pPr>
        <w:pStyle w:val="Heading2"/>
      </w:pPr>
      <w:r>
        <w:rPr>
          <w:rFonts w:ascii="Times New Roman" w:hAnsi="Times New Roman" w:eastAsia="宋体"/>
          <w:sz w:val="28"/>
        </w:rPr>
        <w:t>5.3 周度底仓调整与合约曲线结果分析</w:t>
      </w:r>
    </w:p>
    <w:p>
      <w:pPr>
        <w:spacing w:line="300" w:lineRule="auto"/>
        <w:ind w:firstLine="420"/>
      </w:pPr>
      <w:r>
        <w:rPr>
          <w:rFonts w:ascii="Times New Roman" w:hAnsi="Times New Roman" w:eastAsia="宋体"/>
          <w:sz w:val="22"/>
        </w:rPr>
        <w:t>周度结果显示，模型以 0.60 的基准底仓为起点，在制度可行域约束下将正式验证周的最终锁定比例调整为 0.48。2026-02-02 原始合约调整量为 -1,204,162.125 MWh，执行调整量为 -481,664.84375 MWh；2026-02-09 原始调整量为 -1,142,700.625 MWh，执行调整量为 -457,080.21875 MWh。原始动作和执行动作之间的差距说明，模型试图进一步降低底仓，但 `lt_price_linked`、`ancillary_tight` 和 `renewable_active` 触发的可行域限制压缩了调整幅度。</w:t>
      </w:r>
    </w:p>
    <w:p>
      <w:pPr>
        <w:spacing w:line="300" w:lineRule="auto"/>
        <w:ind w:firstLine="420"/>
      </w:pPr>
      <w:r>
        <w:rPr>
          <w:rFonts w:ascii="Times New Roman" w:hAnsi="Times New Roman" w:eastAsia="宋体"/>
          <w:sz w:val="22"/>
        </w:rPr>
        <w:t>这种结果从经济含义上可以理解为：进入 2026-02 后，中长期价格联动机制改变了合约成本代理，辅助服务收紧降低了现货侧灵活空间，新能源机制执行又增加了制度状态的约束组合。模型在可行域内保留了比基准更低的底仓，但没有无限制降低中长期头寸。论文中应将其解释为政策投影后的可执行底仓，而非模型主动选择的任意合约比例。</w:t>
      </w:r>
    </w:p>
    <w:p>
      <w:pPr>
        <w:spacing w:line="300" w:lineRule="auto"/>
        <w:ind w:firstLine="420"/>
      </w:pPr>
      <w:r>
        <w:rPr>
          <w:rFonts w:ascii="Times New Roman" w:hAnsi="Times New Roman" w:eastAsia="宋体"/>
          <w:sz w:val="22"/>
        </w:rPr>
        <w:t>合同价值周度结果 `outputs/v0.50/raw/metrics/contract_value_weekly.csv` 显示，验证周的 `contract_value_w` 分别为 485.56、478.63、424.17 和 478.46，`lock_ratio_proxy_w` 均为 0.48。`curve_match_score_w` 与 `stability_score_w` 处于 0.43 至 0.48 附近，说明当前 24 小时曲线在结构匹配和稳定性方面形成了可计算输出，但不是需要夸大为显著优越的结果。合约曲线更适合在论文中作为“周度底仓向日内结算结构分解”的机制证据。</w:t>
      </w:r>
    </w:p>
    <w:p>
      <w:pPr>
        <w:pStyle w:val="Heading2"/>
      </w:pPr>
      <w:r>
        <w:rPr>
          <w:rFonts w:ascii="Times New Roman" w:hAnsi="Times New Roman" w:eastAsia="宋体"/>
          <w:sz w:val="28"/>
        </w:rPr>
        <w:t>5.4 滚动回测与基准策略比较</w:t>
      </w:r>
    </w:p>
    <w:p>
      <w:pPr>
        <w:spacing w:line="300" w:lineRule="auto"/>
        <w:ind w:firstLine="420"/>
      </w:pPr>
      <w:r>
        <w:rPr>
          <w:rFonts w:ascii="Times New Roman" w:hAnsi="Times New Roman" w:eastAsia="宋体"/>
          <w:sz w:val="22"/>
        </w:rPr>
        <w:t>滚动回测采用 10 个 expanding rolling 单周测试窗口。根据 `outputs/v0.50/raw/metrics/rolling_backtest_metrics.csv`，10 个窗口总收益为 1,264,994,116 元，平均收益为 126,499,411.60 元，其中 7 个窗口收益为正，3 个窗口收益为负，平均 CVaR99 为 4,683,088.90。滚动结果比正式验证集更平稳，但仍需结合强基准判断。</w:t>
      </w:r>
    </w:p>
    <w:p>
      <w:pPr>
        <w:spacing w:line="300" w:lineRule="auto"/>
        <w:ind w:firstLine="420"/>
      </w:pPr>
      <w:r>
        <w:rPr>
          <w:rFonts w:ascii="Times New Roman" w:hAnsi="Times New Roman" w:eastAsia="宋体"/>
          <w:sz w:val="22"/>
        </w:rPr>
        <w:t>`outputs/v0.50/raw/metrics/rolling_excess_return_metrics.csv` 显示，单周超额收益有 4 个窗口为正、6 个窗口为非正，平均单周超额收益为 -48,846,949.60 元。正式报告中“跑赢 `dynamic_lock_only` 的滚动窗口数为 0”采用的是持续性口径，即 `active_excess_return_persistent` 均为 False。由于每个滚动测试窗口只有一个样本，报告还将窗口指标标记为 `appendix_only`，说明不能把单周正超额收益解释为稳定跑赢。</w:t>
      </w:r>
    </w:p>
    <w:p>
      <w:pPr>
        <w:spacing w:line="300" w:lineRule="auto"/>
        <w:ind w:firstLine="420"/>
      </w:pPr>
      <w:r>
        <w:rPr>
          <w:rFonts w:ascii="Times New Roman" w:hAnsi="Times New Roman" w:eastAsia="宋体"/>
          <w:sz w:val="22"/>
        </w:rPr>
        <w:t>持出集基准比较提供了更直接的策略对照。</w:t>
      </w:r>
    </w:p>
    <w:tbl>
      <w:tblPr>
        <w:tblStyle w:val="TableGrid"/>
        <w:tblW w:type="auto" w:w="0"/>
        <w:tblLayout w:type="autofit"/>
        <w:tblLook w:firstColumn="1" w:firstRow="1" w:lastColumn="0" w:lastRow="0" w:noHBand="0" w:noVBand="1" w:val="04A0"/>
      </w:tblPr>
      <w:tblGrid>
        <w:gridCol w:w="2211"/>
        <w:gridCol w:w="2211"/>
        <w:gridCol w:w="2211"/>
        <w:gridCol w:w="2211"/>
      </w:tblGrid>
      <w:tr>
        <w:tc>
          <w:tcPr>
            <w:tcW w:type="dxa" w:w="2211"/>
          </w:tcPr>
          <w:p>
            <w:pPr>
              <w:spacing w:line="240" w:lineRule="auto"/>
            </w:pPr>
            <w:r>
              <w:rPr>
                <w:rFonts w:ascii="Times New Roman" w:hAnsi="Times New Roman" w:eastAsia="宋体"/>
                <w:sz w:val="18"/>
              </w:rPr>
              <w:t>strategy_name</w:t>
            </w:r>
          </w:p>
        </w:tc>
        <w:tc>
          <w:tcPr>
            <w:tcW w:type="dxa" w:w="2211"/>
          </w:tcPr>
          <w:p>
            <w:pPr>
              <w:spacing w:line="240" w:lineRule="auto"/>
            </w:pPr>
            <w:r>
              <w:rPr>
                <w:rFonts w:ascii="Times New Roman" w:hAnsi="Times New Roman" w:eastAsia="宋体"/>
                <w:sz w:val="18"/>
              </w:rPr>
              <w:t>total_profit</w:t>
            </w:r>
          </w:p>
        </w:tc>
        <w:tc>
          <w:tcPr>
            <w:tcW w:type="dxa" w:w="2211"/>
          </w:tcPr>
          <w:p>
            <w:pPr>
              <w:spacing w:line="240" w:lineRule="auto"/>
            </w:pPr>
            <w:r>
              <w:rPr>
                <w:rFonts w:ascii="Times New Roman" w:hAnsi="Times New Roman" w:eastAsia="宋体"/>
                <w:sz w:val="18"/>
              </w:rPr>
              <w:t>cvar99</w:t>
            </w:r>
          </w:p>
        </w:tc>
        <w:tc>
          <w:tcPr>
            <w:tcW w:type="dxa" w:w="2211"/>
          </w:tcPr>
          <w:p>
            <w:pPr>
              <w:spacing w:line="240" w:lineRule="auto"/>
            </w:pPr>
            <w:r>
              <w:rPr>
                <w:rFonts w:ascii="Times New Roman" w:hAnsi="Times New Roman" w:eastAsia="宋体"/>
                <w:sz w:val="18"/>
              </w:rPr>
              <w:t>profit_delta_vs_dynamic_lock_only</w:t>
            </w:r>
          </w:p>
        </w:tc>
      </w:tr>
      <w:tr>
        <w:tc>
          <w:tcPr>
            <w:tcW w:type="dxa" w:w="2211"/>
          </w:tcPr>
          <w:p>
            <w:pPr>
              <w:spacing w:line="240" w:lineRule="auto"/>
            </w:pPr>
            <w:r>
              <w:rPr>
                <w:rFonts w:ascii="Times New Roman" w:hAnsi="Times New Roman" w:eastAsia="宋体"/>
                <w:sz w:val="18"/>
              </w:rPr>
              <w:t>dynamic_lock_only</w:t>
            </w:r>
          </w:p>
        </w:tc>
        <w:tc>
          <w:tcPr>
            <w:tcW w:type="dxa" w:w="2211"/>
          </w:tcPr>
          <w:p>
            <w:pPr>
              <w:spacing w:line="240" w:lineRule="auto"/>
            </w:pPr>
            <w:r>
              <w:rPr>
                <w:rFonts w:ascii="Times New Roman" w:hAnsi="Times New Roman" w:eastAsia="宋体"/>
                <w:sz w:val="18"/>
              </w:rPr>
              <w:t>1,264,739,082.00</w:t>
            </w:r>
          </w:p>
        </w:tc>
        <w:tc>
          <w:tcPr>
            <w:tcW w:type="dxa" w:w="2211"/>
          </w:tcPr>
          <w:p>
            <w:pPr>
              <w:spacing w:line="240" w:lineRule="auto"/>
            </w:pPr>
            <w:r>
              <w:rPr>
                <w:rFonts w:ascii="Times New Roman" w:hAnsi="Times New Roman" w:eastAsia="宋体"/>
                <w:sz w:val="18"/>
              </w:rPr>
              <w:t>3,727,731.14</w:t>
            </w:r>
          </w:p>
        </w:tc>
        <w:tc>
          <w:tcPr>
            <w:tcW w:type="dxa" w:w="2211"/>
          </w:tcPr>
          <w:p>
            <w:pPr>
              <w:spacing w:line="240" w:lineRule="auto"/>
            </w:pPr>
            <w:r>
              <w:rPr>
                <w:rFonts w:ascii="Times New Roman" w:hAnsi="Times New Roman" w:eastAsia="宋体"/>
                <w:sz w:val="18"/>
              </w:rPr>
              <w:t>0.00</w:t>
            </w:r>
          </w:p>
        </w:tc>
      </w:tr>
      <w:tr>
        <w:tc>
          <w:tcPr>
            <w:tcW w:type="dxa" w:w="2211"/>
          </w:tcPr>
          <w:p>
            <w:pPr>
              <w:spacing w:line="240" w:lineRule="auto"/>
            </w:pPr>
            <w:r>
              <w:rPr>
                <w:rFonts w:ascii="Times New Roman" w:hAnsi="Times New Roman" w:eastAsia="宋体"/>
                <w:sz w:val="18"/>
              </w:rPr>
              <w:t>fixed_holding_60</w:t>
            </w:r>
          </w:p>
        </w:tc>
        <w:tc>
          <w:tcPr>
            <w:tcW w:type="dxa" w:w="2211"/>
          </w:tcPr>
          <w:p>
            <w:pPr>
              <w:spacing w:line="240" w:lineRule="auto"/>
            </w:pPr>
            <w:r>
              <w:rPr>
                <w:rFonts w:ascii="Times New Roman" w:hAnsi="Times New Roman" w:eastAsia="宋体"/>
                <w:sz w:val="18"/>
              </w:rPr>
              <w:t>1,214,118,282.00</w:t>
            </w:r>
          </w:p>
        </w:tc>
        <w:tc>
          <w:tcPr>
            <w:tcW w:type="dxa" w:w="2211"/>
          </w:tcPr>
          <w:p>
            <w:pPr>
              <w:spacing w:line="240" w:lineRule="auto"/>
            </w:pPr>
            <w:r>
              <w:rPr>
                <w:rFonts w:ascii="Times New Roman" w:hAnsi="Times New Roman" w:eastAsia="宋体"/>
                <w:sz w:val="18"/>
              </w:rPr>
              <w:t>3,685,312.71</w:t>
            </w:r>
          </w:p>
        </w:tc>
        <w:tc>
          <w:tcPr>
            <w:tcW w:type="dxa" w:w="2211"/>
          </w:tcPr>
          <w:p>
            <w:pPr>
              <w:spacing w:line="240" w:lineRule="auto"/>
            </w:pPr>
            <w:r>
              <w:rPr>
                <w:rFonts w:ascii="Times New Roman" w:hAnsi="Times New Roman" w:eastAsia="宋体"/>
                <w:sz w:val="18"/>
              </w:rPr>
              <w:t>-50,620,800.00</w:t>
            </w:r>
          </w:p>
        </w:tc>
      </w:tr>
      <w:tr>
        <w:tc>
          <w:tcPr>
            <w:tcW w:type="dxa" w:w="2211"/>
          </w:tcPr>
          <w:p>
            <w:pPr>
              <w:spacing w:line="240" w:lineRule="auto"/>
            </w:pPr>
            <w:r>
              <w:rPr>
                <w:rFonts w:ascii="Times New Roman" w:hAnsi="Times New Roman" w:eastAsia="宋体"/>
                <w:sz w:val="18"/>
              </w:rPr>
              <w:t>static_no_spot_adjustment</w:t>
            </w:r>
          </w:p>
        </w:tc>
        <w:tc>
          <w:tcPr>
            <w:tcW w:type="dxa" w:w="2211"/>
          </w:tcPr>
          <w:p>
            <w:pPr>
              <w:spacing w:line="240" w:lineRule="auto"/>
            </w:pPr>
            <w:r>
              <w:rPr>
                <w:rFonts w:ascii="Times New Roman" w:hAnsi="Times New Roman" w:eastAsia="宋体"/>
                <w:sz w:val="18"/>
              </w:rPr>
              <w:t>1,314,155,722.00</w:t>
            </w:r>
          </w:p>
        </w:tc>
        <w:tc>
          <w:tcPr>
            <w:tcW w:type="dxa" w:w="2211"/>
          </w:tcPr>
          <w:p>
            <w:pPr>
              <w:spacing w:line="240" w:lineRule="auto"/>
            </w:pPr>
            <w:r>
              <w:rPr>
                <w:rFonts w:ascii="Times New Roman" w:hAnsi="Times New Roman" w:eastAsia="宋体"/>
                <w:sz w:val="18"/>
              </w:rPr>
              <w:t>3,770,644.00</w:t>
            </w:r>
          </w:p>
        </w:tc>
        <w:tc>
          <w:tcPr>
            <w:tcW w:type="dxa" w:w="2211"/>
          </w:tcPr>
          <w:p>
            <w:pPr>
              <w:spacing w:line="240" w:lineRule="auto"/>
            </w:pPr>
            <w:r>
              <w:rPr>
                <w:rFonts w:ascii="Times New Roman" w:hAnsi="Times New Roman" w:eastAsia="宋体"/>
                <w:sz w:val="18"/>
              </w:rPr>
              <w:t>49,416,640.00</w:t>
            </w:r>
          </w:p>
        </w:tc>
      </w:tr>
      <w:tr>
        <w:tc>
          <w:tcPr>
            <w:tcW w:type="dxa" w:w="2211"/>
          </w:tcPr>
          <w:p>
            <w:pPr>
              <w:spacing w:line="240" w:lineRule="auto"/>
            </w:pPr>
            <w:r>
              <w:rPr>
                <w:rFonts w:ascii="Times New Roman" w:hAnsi="Times New Roman" w:eastAsia="宋体"/>
                <w:sz w:val="18"/>
              </w:rPr>
              <w:t>simple_rolling_hedge</w:t>
            </w:r>
          </w:p>
        </w:tc>
        <w:tc>
          <w:tcPr>
            <w:tcW w:type="dxa" w:w="2211"/>
          </w:tcPr>
          <w:p>
            <w:pPr>
              <w:spacing w:line="240" w:lineRule="auto"/>
            </w:pPr>
            <w:r>
              <w:rPr>
                <w:rFonts w:ascii="Times New Roman" w:hAnsi="Times New Roman" w:eastAsia="宋体"/>
                <w:sz w:val="18"/>
              </w:rPr>
              <w:t>1,290,957,432.99</w:t>
            </w:r>
          </w:p>
        </w:tc>
        <w:tc>
          <w:tcPr>
            <w:tcW w:type="dxa" w:w="2211"/>
          </w:tcPr>
          <w:p>
            <w:pPr>
              <w:spacing w:line="240" w:lineRule="auto"/>
            </w:pPr>
            <w:r>
              <w:rPr>
                <w:rFonts w:ascii="Times New Roman" w:hAnsi="Times New Roman" w:eastAsia="宋体"/>
                <w:sz w:val="18"/>
              </w:rPr>
              <w:t>3,748,183.36</w:t>
            </w:r>
          </w:p>
        </w:tc>
        <w:tc>
          <w:tcPr>
            <w:tcW w:type="dxa" w:w="2211"/>
          </w:tcPr>
          <w:p>
            <w:pPr>
              <w:spacing w:line="240" w:lineRule="auto"/>
            </w:pPr>
            <w:r>
              <w:rPr>
                <w:rFonts w:ascii="Times New Roman" w:hAnsi="Times New Roman" w:eastAsia="宋体"/>
                <w:sz w:val="18"/>
              </w:rPr>
              <w:t>26,218,350.99</w:t>
            </w:r>
          </w:p>
        </w:tc>
      </w:tr>
    </w:tbl>
    <w:p>
      <w:pPr>
        <w:spacing w:line="300" w:lineRule="auto"/>
        <w:ind w:firstLine="420"/>
      </w:pPr>
      <w:r>
        <w:rPr>
          <w:rFonts w:ascii="Times New Roman" w:hAnsi="Times New Roman" w:eastAsia="宋体"/>
          <w:sz w:val="22"/>
        </w:rPr>
        <w:t>这张表有两个含义。第一，`dynamic_lock_only` 确实是强基准，固定 60% 持仓低于它，但静态无现货修正和简单滚动对冲在利润口径上高于它。第二，静态无现货修正虽然利润更高，但 CVaR99 也高于 `dynamic_lock_only`，说明利润改善伴随一定尾部成本压力。论文应把基准比较写成策略优劣和适用边界的识别，而不应写成主模型全面胜出。</w:t>
      </w:r>
    </w:p>
    <w:p>
      <w:pPr>
        <w:pStyle w:val="Heading2"/>
      </w:pPr>
      <w:r>
        <w:rPr>
          <w:rFonts w:ascii="Times New Roman" w:hAnsi="Times New Roman" w:eastAsia="宋体"/>
          <w:sz w:val="28"/>
        </w:rPr>
        <w:t>5.5 消融实验与稳健性检验</w:t>
      </w:r>
    </w:p>
    <w:p>
      <w:pPr>
        <w:spacing w:line="300" w:lineRule="auto"/>
        <w:ind w:firstLine="420"/>
      </w:pPr>
      <w:r>
        <w:rPr>
          <w:rFonts w:ascii="Times New Roman" w:hAnsi="Times New Roman" w:eastAsia="宋体"/>
          <w:sz w:val="22"/>
        </w:rPr>
        <w:t>消融结果显示，不同机制对收益和风险的影响并不一致。</w:t>
      </w:r>
    </w:p>
    <w:tbl>
      <w:tblPr>
        <w:tblStyle w:val="TableGrid"/>
        <w:tblW w:type="auto" w:w="0"/>
        <w:tblLayout w:type="autofit"/>
        <w:tblLook w:firstColumn="1" w:firstRow="1" w:lastColumn="0" w:lastRow="0" w:noHBand="0" w:noVBand="1" w:val="04A0"/>
      </w:tblPr>
      <w:tblGrid>
        <w:gridCol w:w="1769"/>
        <w:gridCol w:w="1769"/>
        <w:gridCol w:w="1769"/>
        <w:gridCol w:w="1769"/>
        <w:gridCol w:w="1769"/>
      </w:tblGrid>
      <w:tr>
        <w:tc>
          <w:tcPr>
            <w:tcW w:type="dxa" w:w="1769"/>
          </w:tcPr>
          <w:p>
            <w:pPr>
              <w:spacing w:line="240" w:lineRule="auto"/>
            </w:pPr>
            <w:r>
              <w:rPr>
                <w:rFonts w:ascii="Times New Roman" w:hAnsi="Times New Roman" w:eastAsia="宋体"/>
                <w:sz w:val="18"/>
              </w:rPr>
              <w:t>variant_name</w:t>
            </w:r>
          </w:p>
        </w:tc>
        <w:tc>
          <w:tcPr>
            <w:tcW w:type="dxa" w:w="1769"/>
          </w:tcPr>
          <w:p>
            <w:pPr>
              <w:spacing w:line="240" w:lineRule="auto"/>
            </w:pPr>
            <w:r>
              <w:rPr>
                <w:rFonts w:ascii="Times New Roman" w:hAnsi="Times New Roman" w:eastAsia="宋体"/>
                <w:sz w:val="18"/>
              </w:rPr>
              <w:t>total_profit</w:t>
            </w:r>
          </w:p>
        </w:tc>
        <w:tc>
          <w:tcPr>
            <w:tcW w:type="dxa" w:w="1769"/>
          </w:tcPr>
          <w:p>
            <w:pPr>
              <w:spacing w:line="240" w:lineRule="auto"/>
            </w:pPr>
            <w:r>
              <w:rPr>
                <w:rFonts w:ascii="Times New Roman" w:hAnsi="Times New Roman" w:eastAsia="宋体"/>
                <w:sz w:val="18"/>
              </w:rPr>
              <w:t>cvar99</w:t>
            </w:r>
          </w:p>
        </w:tc>
        <w:tc>
          <w:tcPr>
            <w:tcW w:type="dxa" w:w="1769"/>
          </w:tcPr>
          <w:p>
            <w:pPr>
              <w:spacing w:line="240" w:lineRule="auto"/>
            </w:pPr>
            <w:r>
              <w:rPr>
                <w:rFonts w:ascii="Times New Roman" w:hAnsi="Times New Roman" w:eastAsia="宋体"/>
                <w:sz w:val="18"/>
              </w:rPr>
              <w:t>hedge_error</w:t>
            </w:r>
          </w:p>
        </w:tc>
        <w:tc>
          <w:tcPr>
            <w:tcW w:type="dxa" w:w="1769"/>
          </w:tcPr>
          <w:p>
            <w:pPr>
              <w:spacing w:line="240" w:lineRule="auto"/>
            </w:pPr>
            <w:r>
              <w:rPr>
                <w:rFonts w:ascii="Times New Roman" w:hAnsi="Times New Roman" w:eastAsia="宋体"/>
                <w:sz w:val="18"/>
              </w:rPr>
              <w:t>feasible_domain_trigger_weeks</w:t>
            </w:r>
          </w:p>
        </w:tc>
      </w:tr>
      <w:tr>
        <w:tc>
          <w:tcPr>
            <w:tcW w:type="dxa" w:w="1769"/>
          </w:tcPr>
          <w:p>
            <w:pPr>
              <w:spacing w:line="240" w:lineRule="auto"/>
            </w:pPr>
            <w:r>
              <w:rPr>
                <w:rFonts w:ascii="Times New Roman" w:hAnsi="Times New Roman" w:eastAsia="宋体"/>
                <w:sz w:val="18"/>
              </w:rPr>
              <w:t>full_model</w:t>
            </w:r>
          </w:p>
        </w:tc>
        <w:tc>
          <w:tcPr>
            <w:tcW w:type="dxa" w:w="1769"/>
          </w:tcPr>
          <w:p>
            <w:pPr>
              <w:spacing w:line="240" w:lineRule="auto"/>
            </w:pPr>
            <w:r>
              <w:rPr>
                <w:rFonts w:ascii="Times New Roman" w:hAnsi="Times New Roman" w:eastAsia="宋体"/>
                <w:sz w:val="18"/>
              </w:rPr>
              <w:t>1,264,994,116.00</w:t>
            </w:r>
          </w:p>
        </w:tc>
        <w:tc>
          <w:tcPr>
            <w:tcW w:type="dxa" w:w="1769"/>
          </w:tcPr>
          <w:p>
            <w:pPr>
              <w:spacing w:line="240" w:lineRule="auto"/>
            </w:pPr>
            <w:r>
              <w:rPr>
                <w:rFonts w:ascii="Times New Roman" w:hAnsi="Times New Roman" w:eastAsia="宋体"/>
                <w:sz w:val="18"/>
              </w:rPr>
              <w:t>4,683,088.90</w:t>
            </w:r>
          </w:p>
        </w:tc>
        <w:tc>
          <w:tcPr>
            <w:tcW w:type="dxa" w:w="1769"/>
          </w:tcPr>
          <w:p>
            <w:pPr>
              <w:spacing w:line="240" w:lineRule="auto"/>
            </w:pPr>
            <w:r>
              <w:rPr>
                <w:rFonts w:ascii="Times New Roman" w:hAnsi="Times New Roman" w:eastAsia="宋体"/>
                <w:sz w:val="18"/>
              </w:rPr>
              <w:t>0.575257</w:t>
            </w:r>
          </w:p>
        </w:tc>
        <w:tc>
          <w:tcPr>
            <w:tcW w:type="dxa" w:w="1769"/>
          </w:tcPr>
          <w:p>
            <w:pPr>
              <w:spacing w:line="240" w:lineRule="auto"/>
            </w:pPr>
            <w:r>
              <w:rPr>
                <w:rFonts w:ascii="Times New Roman" w:hAnsi="Times New Roman" w:eastAsia="宋体"/>
                <w:sz w:val="18"/>
              </w:rPr>
              <w:t>10</w:t>
            </w:r>
          </w:p>
        </w:tc>
      </w:tr>
      <w:tr>
        <w:tc>
          <w:tcPr>
            <w:tcW w:type="dxa" w:w="1769"/>
          </w:tcPr>
          <w:p>
            <w:pPr>
              <w:spacing w:line="240" w:lineRule="auto"/>
            </w:pPr>
            <w:r>
              <w:rPr>
                <w:rFonts w:ascii="Times New Roman" w:hAnsi="Times New Roman" w:eastAsia="宋体"/>
                <w:sz w:val="18"/>
              </w:rPr>
              <w:t>no_parameter_layout_enhancement</w:t>
            </w:r>
          </w:p>
        </w:tc>
        <w:tc>
          <w:tcPr>
            <w:tcW w:type="dxa" w:w="1769"/>
          </w:tcPr>
          <w:p>
            <w:pPr>
              <w:spacing w:line="240" w:lineRule="auto"/>
            </w:pPr>
            <w:r>
              <w:rPr>
                <w:rFonts w:ascii="Times New Roman" w:hAnsi="Times New Roman" w:eastAsia="宋体"/>
                <w:sz w:val="18"/>
              </w:rPr>
              <w:t>1,430,522,478.00</w:t>
            </w:r>
          </w:p>
        </w:tc>
        <w:tc>
          <w:tcPr>
            <w:tcW w:type="dxa" w:w="1769"/>
          </w:tcPr>
          <w:p>
            <w:pPr>
              <w:spacing w:line="240" w:lineRule="auto"/>
            </w:pPr>
            <w:r>
              <w:rPr>
                <w:rFonts w:ascii="Times New Roman" w:hAnsi="Times New Roman" w:eastAsia="宋体"/>
                <w:sz w:val="18"/>
              </w:rPr>
              <w:t>4,253,032.78</w:t>
            </w:r>
          </w:p>
        </w:tc>
        <w:tc>
          <w:tcPr>
            <w:tcW w:type="dxa" w:w="1769"/>
          </w:tcPr>
          <w:p>
            <w:pPr>
              <w:spacing w:line="240" w:lineRule="auto"/>
            </w:pPr>
            <w:r>
              <w:rPr>
                <w:rFonts w:ascii="Times New Roman" w:hAnsi="Times New Roman" w:eastAsia="宋体"/>
                <w:sz w:val="18"/>
              </w:rPr>
              <w:t>0.575257</w:t>
            </w:r>
          </w:p>
        </w:tc>
        <w:tc>
          <w:tcPr>
            <w:tcW w:type="dxa" w:w="1769"/>
          </w:tcPr>
          <w:p>
            <w:pPr>
              <w:spacing w:line="240" w:lineRule="auto"/>
            </w:pPr>
            <w:r>
              <w:rPr>
                <w:rFonts w:ascii="Times New Roman" w:hAnsi="Times New Roman" w:eastAsia="宋体"/>
                <w:sz w:val="18"/>
              </w:rPr>
              <w:t>10</w:t>
            </w:r>
          </w:p>
        </w:tc>
      </w:tr>
      <w:tr>
        <w:tc>
          <w:tcPr>
            <w:tcW w:type="dxa" w:w="1769"/>
          </w:tcPr>
          <w:p>
            <w:pPr>
              <w:spacing w:line="240" w:lineRule="auto"/>
            </w:pPr>
            <w:r>
              <w:rPr>
                <w:rFonts w:ascii="Times New Roman" w:hAnsi="Times New Roman" w:eastAsia="宋体"/>
                <w:sz w:val="18"/>
              </w:rPr>
              <w:t>no_policy_projection</w:t>
            </w:r>
          </w:p>
        </w:tc>
        <w:tc>
          <w:tcPr>
            <w:tcW w:type="dxa" w:w="1769"/>
          </w:tcPr>
          <w:p>
            <w:pPr>
              <w:spacing w:line="240" w:lineRule="auto"/>
            </w:pPr>
            <w:r>
              <w:rPr>
                <w:rFonts w:ascii="Times New Roman" w:hAnsi="Times New Roman" w:eastAsia="宋体"/>
                <w:sz w:val="18"/>
              </w:rPr>
              <w:t>2,200,581,056.00</w:t>
            </w:r>
          </w:p>
        </w:tc>
        <w:tc>
          <w:tcPr>
            <w:tcW w:type="dxa" w:w="1769"/>
          </w:tcPr>
          <w:p>
            <w:pPr>
              <w:spacing w:line="240" w:lineRule="auto"/>
            </w:pPr>
            <w:r>
              <w:rPr>
                <w:rFonts w:ascii="Times New Roman" w:hAnsi="Times New Roman" w:eastAsia="宋体"/>
                <w:sz w:val="18"/>
              </w:rPr>
              <w:t>4,271,747.78</w:t>
            </w:r>
          </w:p>
        </w:tc>
        <w:tc>
          <w:tcPr>
            <w:tcW w:type="dxa" w:w="1769"/>
          </w:tcPr>
          <w:p>
            <w:pPr>
              <w:spacing w:line="240" w:lineRule="auto"/>
            </w:pPr>
            <w:r>
              <w:rPr>
                <w:rFonts w:ascii="Times New Roman" w:hAnsi="Times New Roman" w:eastAsia="宋体"/>
                <w:sz w:val="18"/>
              </w:rPr>
              <w:t>0.701137</w:t>
            </w:r>
          </w:p>
        </w:tc>
        <w:tc>
          <w:tcPr>
            <w:tcW w:type="dxa" w:w="1769"/>
          </w:tcPr>
          <w:p>
            <w:pPr>
              <w:spacing w:line="240" w:lineRule="auto"/>
            </w:pPr>
            <w:r>
              <w:rPr>
                <w:rFonts w:ascii="Times New Roman" w:hAnsi="Times New Roman" w:eastAsia="宋体"/>
                <w:sz w:val="18"/>
              </w:rPr>
              <w:t>0</w:t>
            </w:r>
          </w:p>
        </w:tc>
      </w:tr>
      <w:tr>
        <w:tc>
          <w:tcPr>
            <w:tcW w:type="dxa" w:w="1769"/>
          </w:tcPr>
          <w:p>
            <w:pPr>
              <w:spacing w:line="240" w:lineRule="auto"/>
            </w:pPr>
            <w:r>
              <w:rPr>
                <w:rFonts w:ascii="Times New Roman" w:hAnsi="Times New Roman" w:eastAsia="宋体"/>
                <w:sz w:val="18"/>
              </w:rPr>
              <w:t>no_state_enhancement</w:t>
            </w:r>
          </w:p>
        </w:tc>
        <w:tc>
          <w:tcPr>
            <w:tcW w:type="dxa" w:w="1769"/>
          </w:tcPr>
          <w:p>
            <w:pPr>
              <w:spacing w:line="240" w:lineRule="auto"/>
            </w:pPr>
            <w:r>
              <w:rPr>
                <w:rFonts w:ascii="Times New Roman" w:hAnsi="Times New Roman" w:eastAsia="宋体"/>
                <w:sz w:val="18"/>
              </w:rPr>
              <w:t>1,264,994,116.00</w:t>
            </w:r>
          </w:p>
        </w:tc>
        <w:tc>
          <w:tcPr>
            <w:tcW w:type="dxa" w:w="1769"/>
          </w:tcPr>
          <w:p>
            <w:pPr>
              <w:spacing w:line="240" w:lineRule="auto"/>
            </w:pPr>
            <w:r>
              <w:rPr>
                <w:rFonts w:ascii="Times New Roman" w:hAnsi="Times New Roman" w:eastAsia="宋体"/>
                <w:sz w:val="18"/>
              </w:rPr>
              <w:t>4,683,088.90</w:t>
            </w:r>
          </w:p>
        </w:tc>
        <w:tc>
          <w:tcPr>
            <w:tcW w:type="dxa" w:w="1769"/>
          </w:tcPr>
          <w:p>
            <w:pPr>
              <w:spacing w:line="240" w:lineRule="auto"/>
            </w:pPr>
            <w:r>
              <w:rPr>
                <w:rFonts w:ascii="Times New Roman" w:hAnsi="Times New Roman" w:eastAsia="宋体"/>
                <w:sz w:val="18"/>
              </w:rPr>
              <w:t>0.575257</w:t>
            </w:r>
          </w:p>
        </w:tc>
        <w:tc>
          <w:tcPr>
            <w:tcW w:type="dxa" w:w="1769"/>
          </w:tcPr>
          <w:p>
            <w:pPr>
              <w:spacing w:line="240" w:lineRule="auto"/>
            </w:pPr>
            <w:r>
              <w:rPr>
                <w:rFonts w:ascii="Times New Roman" w:hAnsi="Times New Roman" w:eastAsia="宋体"/>
                <w:sz w:val="18"/>
              </w:rPr>
              <w:t>10</w:t>
            </w:r>
          </w:p>
        </w:tc>
      </w:tr>
    </w:tbl>
    <w:p>
      <w:pPr>
        <w:spacing w:line="300" w:lineRule="auto"/>
        <w:ind w:firstLine="420"/>
      </w:pPr>
      <w:r>
        <w:rPr>
          <w:rFonts w:ascii="Times New Roman" w:hAnsi="Times New Roman" w:eastAsia="宋体"/>
          <w:sz w:val="22"/>
        </w:rPr>
        <w:t>`no_policy_projection` 的利润最高，但它取消了政策可行域触发，套保误差升至 0.701137。该结果不能被解释为“取消政策约束更优”，更合理的解释是：制度投影对策略收益形成实质约束，同时也降低了偏离现实制度边界的风险。对于售电公司经营研究而言，移除政策投影后的高收益缺少可执行性，适合用作制度约束压力的反证。</w:t>
      </w:r>
    </w:p>
    <w:p>
      <w:pPr>
        <w:spacing w:line="300" w:lineRule="auto"/>
        <w:ind w:firstLine="420"/>
      </w:pPr>
      <w:r>
        <w:rPr>
          <w:rFonts w:ascii="Times New Roman" w:hAnsi="Times New Roman" w:eastAsia="宋体"/>
          <w:sz w:val="22"/>
        </w:rPr>
        <w:t>稳健性检验通过合约比例偏移、预测误差缩放和政策截断日情景重算滚动测试窗口。结果显示，`contract_ratio_shift_-0.10` 的总收益为 2,015,351,104 元，`contract_ratio_shift_+0.10` 的总收益为 -436,104,195 元，说明当前样本下较低底仓在利润上更有利，但过度提高底仓比例会显著损害结果。预测误差放大到 1.20 时收益为 2,252,978,364 元，但平均 CVaR99 升至 5,261,120.55；预测误差缩小到 0.80 时收益为 -391,128,336 元。该结果提示，样本期收益对负荷偏差和价格结构高度敏感，不能把某个单一情景扩展为一般规律。</w:t>
      </w:r>
    </w:p>
    <w:p>
      <w:pPr>
        <w:spacing w:line="300" w:lineRule="auto"/>
        <w:ind w:firstLine="420"/>
      </w:pPr>
      <w:r>
        <w:rPr>
          <w:rFonts w:ascii="Times New Roman" w:hAnsi="Times New Roman" w:eastAsia="宋体"/>
          <w:sz w:val="22"/>
        </w:rPr>
        <w:t>政策截断情景中，`policy_cutoff_2026-02-01` 的统计样本变为 7 周，总收益为 671,246,532 元，平均 CVaR99 为 3,205,584.33；`policy_cutoff_2026-01-01` 与基准情景一致。这表明政策生效时点会改变样本范围和指标表现，论文必须继续坚持按生效时间处理制度状态。</w:t>
      </w:r>
    </w:p>
    <w:p>
      <w:pPr>
        <w:pStyle w:val="Heading2"/>
      </w:pPr>
      <w:r>
        <w:rPr>
          <w:rFonts w:ascii="Times New Roman" w:hAnsi="Times New Roman" w:eastAsia="宋体"/>
          <w:sz w:val="28"/>
        </w:rPr>
        <w:t>5.6 政策约束激活及策略边界解释</w:t>
      </w:r>
    </w:p>
    <w:p>
      <w:pPr>
        <w:spacing w:line="300" w:lineRule="auto"/>
        <w:ind w:firstLine="420"/>
      </w:pPr>
      <w:r>
        <w:rPr>
          <w:rFonts w:ascii="Times New Roman" w:hAnsi="Times New Roman" w:eastAsia="宋体"/>
          <w:sz w:val="22"/>
        </w:rPr>
        <w:t>政策约束在 v0.50 中并非附属说明，而是正式进入训练和回测。正式验证集四周均触发可行域，滚动回测 10 个测试周也均有 `feasible_domain_trigger_weeks=1`。`bound_reason_code` 在 2026-02 前主要体现辅助服务收紧，2026-02 后叠加中长期价格联动和新能源机制状态。该结果说明售电公司策略空间随制度时点变化而改变，不能用单一固定市场环境解释整个样本期。</w:t>
      </w:r>
    </w:p>
    <w:p>
      <w:pPr>
        <w:spacing w:line="300" w:lineRule="auto"/>
        <w:ind w:firstLine="420"/>
      </w:pPr>
      <w:r>
        <w:rPr>
          <w:rFonts w:ascii="Times New Roman" w:hAnsi="Times New Roman" w:eastAsia="宋体"/>
          <w:sz w:val="22"/>
        </w:rPr>
        <w:t>政策风险调整结果进一步支持这一判断。正式验证四周的 `policy_risk_adjusted_excess_return_w` 分别为 -253,496,599.95、-211,483,159.51、-124,436,710.26 和 -189,816,308.89，均为负。该结果说明，加入政策风险惩罚后，主策略在验证集仍未形成正超额收益。论文结论应把这视为模型效果的限制，也可以说明政策风险调整指标在防止收益口径过度乐观方面具有价值。</w:t>
      </w:r>
    </w:p>
    <w:p>
      <w:pPr>
        <w:pStyle w:val="Heading2"/>
      </w:pPr>
      <w:r>
        <w:rPr>
          <w:rFonts w:ascii="Times New Roman" w:hAnsi="Times New Roman" w:eastAsia="宋体"/>
          <w:sz w:val="28"/>
        </w:rPr>
        <w:t>5.7 小时级现货修正结果及机制解释</w:t>
      </w:r>
    </w:p>
    <w:p>
      <w:pPr>
        <w:spacing w:line="300" w:lineRule="auto"/>
        <w:ind w:firstLine="420"/>
      </w:pPr>
      <w:r>
        <w:rPr>
          <w:rFonts w:ascii="Times New Roman" w:hAnsi="Times New Roman" w:eastAsia="宋体"/>
          <w:sz w:val="22"/>
        </w:rPr>
        <w:t>方法章已经说明，项目中小时级现货修正机制完整存在，包含价差信号、负荷偏差信号、新能源扰动、门控函数、风险带宽、小时份额上限和爬坡约束。然而正式输出 `outputs/v0.50/raw/metrics/rolling_hourly_results.csv` 中，`spot_hedge_mwh` 共 1632 条记录，sum、abs_sum、min、max 均为 0。验证集指标 `avg_adjustment_mwh=0` 也与此一致。</w:t>
      </w:r>
    </w:p>
    <w:p>
      <w:pPr>
        <w:spacing w:line="300" w:lineRule="auto"/>
        <w:ind w:firstLine="420"/>
      </w:pPr>
      <w:r>
        <w:rPr>
          <w:rFonts w:ascii="Times New Roman" w:hAnsi="Times New Roman" w:eastAsia="宋体"/>
          <w:sz w:val="22"/>
        </w:rPr>
        <w:t>这一现象可以从三个方面解释。第一，小时级门控要求信号超过死区后才触发交易，当前配置中 `signal_deadband=0.12`，弱信号不会形成修正。第二，辅助服务收紧和政策可行域压缩了小时级带宽，许多潜在动作即使有方向，也可能被投影到很小或零。第三，训练奖励对交易摩擦和尾部风险设置惩罚，当前粒子组合可能认为不交易优于在不确定信号下交易。由此，论文应把小时级现货修正写作“已实现但本轮未激活”的机制，而非把它写成已经显著贡献收益的模块。</w:t>
      </w:r>
    </w:p>
    <w:p>
      <w:pPr>
        <w:spacing w:line="300" w:lineRule="auto"/>
        <w:ind w:firstLine="420"/>
      </w:pPr>
      <w:r>
        <w:rPr>
          <w:rFonts w:ascii="Times New Roman" w:hAnsi="Times New Roman" w:eastAsia="宋体"/>
          <w:sz w:val="22"/>
        </w:rPr>
        <w:t>从研究价值看，这一结果并非单纯失败。它说明在强约束、短样本和交易摩擦存在的条件下，现货边际修正需要足够强的信号和合理的带宽才能产生作用。后续若要提升模型表现，应重点检查小时信号归一化、门控死区、带宽下限、交易摩擦权重和下层参数搜索，而不是简单增加模型复杂度。</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第六章 研究结论与建议</w:t>
      </w:r>
    </w:p>
    <w:p>
      <w:pPr>
        <w:pStyle w:val="Heading2"/>
      </w:pPr>
      <w:r>
        <w:rPr>
          <w:rFonts w:ascii="Times New Roman" w:hAnsi="Times New Roman" w:eastAsia="宋体"/>
          <w:sz w:val="28"/>
        </w:rPr>
        <w:t>6.1 研究结论</w:t>
      </w:r>
    </w:p>
    <w:p>
      <w:pPr>
        <w:spacing w:line="300" w:lineRule="auto"/>
        <w:ind w:firstLine="420"/>
      </w:pPr>
      <w:r>
        <w:rPr>
          <w:rFonts w:ascii="Times New Roman" w:hAnsi="Times New Roman" w:eastAsia="宋体"/>
          <w:sz w:val="22"/>
        </w:rPr>
        <w:t>本文围绕湖南电力市场售电公司在 2025-11-01 至 2026-03-20 期间的采购策略问题，构建了“周度中长期底仓决策、小时级现货边际风险对冲、15 分钟代理结算回测”的多时间尺度框架。结合当前项目 v0.50 实现和正式输出，可以得到三点结论。</w:t>
      </w:r>
    </w:p>
    <w:p>
      <w:pPr>
        <w:spacing w:line="300" w:lineRule="auto"/>
        <w:ind w:firstLine="420"/>
      </w:pPr>
      <w:r>
        <w:rPr>
          <w:rFonts w:ascii="Times New Roman" w:hAnsi="Times New Roman" w:eastAsia="宋体"/>
          <w:sz w:val="22"/>
        </w:rPr>
        <w:t>第一，政策规则可以转化为可计算、可审计的制度状态和可行域边界。项目从 `政策环境/` 中读取 18 个政策文件，形成 36 条结构化规则且解析失败数为 0；新能源机制电价自 2026-01-01 进入模型，中长期价格联动自 2026-02-01 进入结算口径。正式验证和滚动回测中可行域均有触发，说明制度状态对售电公司策略空间具有实质影响。</w:t>
      </w:r>
    </w:p>
    <w:p>
      <w:pPr>
        <w:spacing w:line="300" w:lineRule="auto"/>
        <w:ind w:firstLine="420"/>
      </w:pPr>
      <w:r>
        <w:rPr>
          <w:rFonts w:ascii="Times New Roman" w:hAnsi="Times New Roman" w:eastAsia="宋体"/>
          <w:sz w:val="22"/>
        </w:rPr>
        <w:t>第二，多时间尺度框架能够把售电公司采购问题拆解为更接近经营实践的链条。周度层决定中长期底仓和风险预算，小时层提供现货边际修正通道，15 分钟层用于计算采购成本、利润、CVaR99 和套保误差。当前代码通过 `score_kernel.py` 和 `materialize.py` 保证训练评分和报告物化口径一致，使论文中的公式、变量和结果能够回到具体实现。</w:t>
      </w:r>
    </w:p>
    <w:p>
      <w:pPr>
        <w:spacing w:line="300" w:lineRule="auto"/>
        <w:ind w:firstLine="420"/>
      </w:pPr>
      <w:r>
        <w:rPr>
          <w:rFonts w:ascii="Times New Roman" w:hAnsi="Times New Roman" w:eastAsia="宋体"/>
          <w:sz w:val="22"/>
        </w:rPr>
        <w:t>第三，v0.50 的算法效果需要审慎评价。正式验证集累计收益为 -55,879,040 元，四个验证周相对强基准的超额收益均为负；滚动回测平均收益为 126,499,411.60 元，但持续跑赢 `dynamic_lock_only` 的窗口数为 0；持出基准比较中，静态无现货修正和简单滚动对冲在利润口径上高于 `dynamic_lock_only`。这些结果说明，当前实现完成了复现闭环和制度约束建模，但在强基准收益改善、小时级现货修正激活和风险收益权衡方面仍有改进空间。</w:t>
      </w:r>
    </w:p>
    <w:p>
      <w:pPr>
        <w:pStyle w:val="Heading2"/>
      </w:pPr>
      <w:r>
        <w:rPr>
          <w:rFonts w:ascii="Times New Roman" w:hAnsi="Times New Roman" w:eastAsia="宋体"/>
          <w:sz w:val="28"/>
        </w:rPr>
        <w:t>6.2 管理启示与风险控制建议</w:t>
      </w:r>
    </w:p>
    <w:p>
      <w:pPr>
        <w:spacing w:line="300" w:lineRule="auto"/>
        <w:ind w:firstLine="420"/>
      </w:pPr>
      <w:r>
        <w:rPr>
          <w:rFonts w:ascii="Times New Roman" w:hAnsi="Times New Roman" w:eastAsia="宋体"/>
          <w:sz w:val="22"/>
        </w:rPr>
        <w:t>对售电公司而言，第一项启示是中长期底仓应被视为风险预算工具。当前样本中，较低底仓在若干情景下改善收益，但提高底仓比例会显著损害结果。这说明售电公司需要结合市场阶段、负荷预测偏差和价格联动机制动态校准合同覆盖率，不能仅依赖固定比例经验。</w:t>
      </w:r>
    </w:p>
    <w:p>
      <w:pPr>
        <w:spacing w:line="300" w:lineRule="auto"/>
        <w:ind w:firstLine="420"/>
      </w:pPr>
      <w:r>
        <w:rPr>
          <w:rFonts w:ascii="Times New Roman" w:hAnsi="Times New Roman" w:eastAsia="宋体"/>
          <w:sz w:val="22"/>
        </w:rPr>
        <w:t>第二项启示是制度时点监测应进入交易决策流程。新能源机制电价、中长期价格联动和辅助服务耦合状态会改变策略可行域。售电公司在制定采购方案时，应建立政策生效时间、适用范围和结算口径的内部台账，把制度变化转化为交易上限、风险带宽和评价口径，而不是只在事后解释收益波动。</w:t>
      </w:r>
    </w:p>
    <w:p>
      <w:pPr>
        <w:spacing w:line="300" w:lineRule="auto"/>
        <w:ind w:firstLine="420"/>
      </w:pPr>
      <w:r>
        <w:rPr>
          <w:rFonts w:ascii="Times New Roman" w:hAnsi="Times New Roman" w:eastAsia="宋体"/>
          <w:sz w:val="22"/>
        </w:rPr>
        <w:t>第三项启示是现货边际修正需要接受交易摩擦和信号强度约束。当前小时级机制未产生实际净修正，说明在短样本和强约束下，频繁交易未必优于保持头寸稳定。售电公司若引入小时级对冲，应先检验价差信号是否足以覆盖摩擦成本、负荷预测误差和制度收缩风险，再决定是否扩大现货交易带宽。</w:t>
      </w:r>
    </w:p>
    <w:p>
      <w:pPr>
        <w:spacing w:line="300" w:lineRule="auto"/>
        <w:ind w:firstLine="420"/>
      </w:pPr>
      <w:r>
        <w:rPr>
          <w:rFonts w:ascii="Times New Roman" w:hAnsi="Times New Roman" w:eastAsia="宋体"/>
          <w:sz w:val="22"/>
        </w:rPr>
        <w:t>第四项启示是强基准比较应成为策略评价常规。`dynamic_lock_only`、静态无现货修正和简单滚动对冲在当前结果中表现出较强竞争力。售电公司内部评估算法策略时，应保留简单、透明、可复现的规则基准，避免因复杂模型带来解释成本和执行风险。</w:t>
      </w:r>
    </w:p>
    <w:p>
      <w:pPr>
        <w:pStyle w:val="Heading2"/>
      </w:pPr>
      <w:r>
        <w:rPr>
          <w:rFonts w:ascii="Times New Roman" w:hAnsi="Times New Roman" w:eastAsia="宋体"/>
          <w:sz w:val="28"/>
        </w:rPr>
        <w:t>6.3 研究不足与展望</w:t>
      </w:r>
    </w:p>
    <w:p>
      <w:pPr>
        <w:spacing w:line="300" w:lineRule="auto"/>
        <w:ind w:firstLine="420"/>
      </w:pPr>
      <w:r>
        <w:rPr>
          <w:rFonts w:ascii="Times New Roman" w:hAnsi="Times New Roman" w:eastAsia="宋体"/>
          <w:sz w:val="22"/>
        </w:rPr>
        <w:t>本文仍存在三个不足。第一，样本期较短，研究窗口集中于 2025 年 11 月至 2026 年 3 月，滚动测试窗口为单周样本，部分超额收益指标只能作为附录口径解释。后续可在不混用政策时点的前提下，扩展更多正式运行样本。</w:t>
      </w:r>
    </w:p>
    <w:p>
      <w:pPr>
        <w:spacing w:line="300" w:lineRule="auto"/>
        <w:ind w:firstLine="420"/>
      </w:pPr>
      <w:r>
        <w:rPr>
          <w:rFonts w:ascii="Times New Roman" w:hAnsi="Times New Roman" w:eastAsia="宋体"/>
          <w:sz w:val="22"/>
        </w:rPr>
        <w:t>第二，小时级现货修正通道尚未在当前正式结果中激活。后续研究可围绕小时信号标准化、门控死区、风险带宽、交易摩擦权重和下层参数搜索开展实验，检验非零现货修正是否能在不显著恶化尾部风险的情况下改善强基准比较。</w:t>
      </w:r>
    </w:p>
    <w:p>
      <w:pPr>
        <w:spacing w:line="300" w:lineRule="auto"/>
        <w:ind w:firstLine="420"/>
      </w:pPr>
      <w:r>
        <w:rPr>
          <w:rFonts w:ascii="Times New Roman" w:hAnsi="Times New Roman" w:eastAsia="宋体"/>
          <w:sz w:val="22"/>
        </w:rPr>
        <w:t>第三，本文主要使用代理结算口径，零售侧收入以外生电价处理。未来若有更完整的零售套餐、用户响应和实际结算数据，可以在保持售电公司主体边界的前提下细化收益端模型。但在当前论文范围内，保持采购侧和风险管理主线更加稳妥。</w:t>
      </w:r>
    </w:p>
    <w:p>
      <w:pPr>
        <w:spacing w:line="300" w:lineRule="auto"/>
        <w:ind w:firstLine="420"/>
      </w:pPr>
      <w:r>
        <w:rPr>
          <w:rFonts w:ascii="Times New Roman" w:hAnsi="Times New Roman" w:eastAsia="宋体"/>
          <w:sz w:val="22"/>
        </w:rPr>
        <w:t>总体而言，本文的主要贡献在于建立了一个可复核的制度一致性和多时间尺度采购策略框架。当前结果没有支持“算法全面优于强基准”的结论，却清楚揭示了政策可行域、强基准和小时级交易门控对售电公司策略评价的重要性。这一发现对售电公司采购策略建模具有现实解释价值，也为后续继续优化模型提供了明确方向。</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项目实现证据索引</w:t>
      </w:r>
    </w:p>
    <w:tbl>
      <w:tblPr>
        <w:tblStyle w:val="TableGrid"/>
        <w:tblW w:type="auto" w:w="0"/>
        <w:tblLayout w:type="autofit"/>
        <w:tblLook w:firstColumn="1" w:firstRow="1" w:lastColumn="0" w:lastRow="0" w:noHBand="0" w:noVBand="1" w:val="04A0"/>
      </w:tblPr>
      <w:tblGrid>
        <w:gridCol w:w="2948"/>
        <w:gridCol w:w="2948"/>
        <w:gridCol w:w="2948"/>
      </w:tblGrid>
      <w:tr>
        <w:tc>
          <w:tcPr>
            <w:tcW w:type="dxa" w:w="2948"/>
          </w:tcPr>
          <w:p>
            <w:pPr>
              <w:spacing w:line="240" w:lineRule="auto"/>
            </w:pPr>
            <w:r>
              <w:rPr>
                <w:rFonts w:ascii="Times New Roman" w:hAnsi="Times New Roman" w:eastAsia="宋体"/>
                <w:sz w:val="18"/>
              </w:rPr>
              <w:t>证据类别</w:t>
            </w:r>
          </w:p>
        </w:tc>
        <w:tc>
          <w:tcPr>
            <w:tcW w:type="dxa" w:w="2948"/>
          </w:tcPr>
          <w:p>
            <w:pPr>
              <w:spacing w:line="240" w:lineRule="auto"/>
            </w:pPr>
            <w:r>
              <w:rPr>
                <w:rFonts w:ascii="Times New Roman" w:hAnsi="Times New Roman" w:eastAsia="宋体"/>
                <w:sz w:val="18"/>
              </w:rPr>
              <w:t>路径</w:t>
            </w:r>
          </w:p>
        </w:tc>
        <w:tc>
          <w:tcPr>
            <w:tcW w:type="dxa" w:w="2948"/>
          </w:tcPr>
          <w:p>
            <w:pPr>
              <w:spacing w:line="240" w:lineRule="auto"/>
            </w:pPr>
            <w:r>
              <w:rPr>
                <w:rFonts w:ascii="Times New Roman" w:hAnsi="Times New Roman" w:eastAsia="宋体"/>
                <w:sz w:val="18"/>
              </w:rPr>
              <w:t>论文用途</w:t>
            </w:r>
          </w:p>
        </w:tc>
      </w:tr>
      <w:tr>
        <w:tc>
          <w:tcPr>
            <w:tcW w:type="dxa" w:w="2948"/>
          </w:tcPr>
          <w:p>
            <w:pPr>
              <w:spacing w:line="240" w:lineRule="auto"/>
            </w:pPr>
            <w:r>
              <w:rPr>
                <w:rFonts w:ascii="Times New Roman" w:hAnsi="Times New Roman" w:eastAsia="宋体"/>
                <w:sz w:val="18"/>
              </w:rPr>
              <w:t>人工配置入口</w:t>
            </w:r>
          </w:p>
        </w:tc>
        <w:tc>
          <w:tcPr>
            <w:tcW w:type="dxa" w:w="2948"/>
          </w:tcPr>
          <w:p>
            <w:pPr>
              <w:spacing w:line="240" w:lineRule="auto"/>
            </w:pPr>
            <w:r>
              <w:rPr>
                <w:rFonts w:ascii="Times New Roman" w:hAnsi="Times New Roman" w:eastAsia="宋体"/>
                <w:sz w:val="18"/>
              </w:rPr>
              <w:t>`experiment_config.yaml`</w:t>
            </w:r>
          </w:p>
        </w:tc>
        <w:tc>
          <w:tcPr>
            <w:tcW w:type="dxa" w:w="2948"/>
          </w:tcPr>
          <w:p>
            <w:pPr>
              <w:spacing w:line="240" w:lineRule="auto"/>
            </w:pPr>
            <w:r>
              <w:rPr>
                <w:rFonts w:ascii="Times New Roman" w:hAnsi="Times New Roman" w:eastAsia="宋体"/>
                <w:sz w:val="18"/>
              </w:rPr>
              <w:t>样本期、训练划分、奖励权重、可行域参数</w:t>
            </w:r>
          </w:p>
        </w:tc>
      </w:tr>
      <w:tr>
        <w:tc>
          <w:tcPr>
            <w:tcW w:type="dxa" w:w="2948"/>
          </w:tcPr>
          <w:p>
            <w:pPr>
              <w:spacing w:line="240" w:lineRule="auto"/>
            </w:pPr>
            <w:r>
              <w:rPr>
                <w:rFonts w:ascii="Times New Roman" w:hAnsi="Times New Roman" w:eastAsia="宋体"/>
                <w:sz w:val="18"/>
              </w:rPr>
              <w:t>总运行链</w:t>
            </w:r>
          </w:p>
        </w:tc>
        <w:tc>
          <w:tcPr>
            <w:tcW w:type="dxa" w:w="2948"/>
          </w:tcPr>
          <w:p>
            <w:pPr>
              <w:spacing w:line="240" w:lineRule="auto"/>
            </w:pPr>
            <w:r>
              <w:rPr>
                <w:rFonts w:ascii="Times New Roman" w:hAnsi="Times New Roman" w:eastAsia="宋体"/>
                <w:sz w:val="18"/>
              </w:rPr>
              <w:t>`src/scripts/run_pipeline.py`</w:t>
            </w:r>
          </w:p>
        </w:tc>
        <w:tc>
          <w:tcPr>
            <w:tcW w:type="dxa" w:w="2948"/>
          </w:tcPr>
          <w:p>
            <w:pPr>
              <w:spacing w:line="240" w:lineRule="auto"/>
            </w:pPr>
            <w:r>
              <w:rPr>
                <w:rFonts w:ascii="Times New Roman" w:hAnsi="Times New Roman" w:eastAsia="宋体"/>
                <w:sz w:val="18"/>
              </w:rPr>
              <w:t>pipeline、报告生成和 manifest 输出</w:t>
            </w:r>
          </w:p>
        </w:tc>
      </w:tr>
      <w:tr>
        <w:tc>
          <w:tcPr>
            <w:tcW w:type="dxa" w:w="2948"/>
          </w:tcPr>
          <w:p>
            <w:pPr>
              <w:spacing w:line="240" w:lineRule="auto"/>
            </w:pPr>
            <w:r>
              <w:rPr>
                <w:rFonts w:ascii="Times New Roman" w:hAnsi="Times New Roman" w:eastAsia="宋体"/>
                <w:sz w:val="18"/>
              </w:rPr>
              <w:t>上下文构造</w:t>
            </w:r>
          </w:p>
        </w:tc>
        <w:tc>
          <w:tcPr>
            <w:tcW w:type="dxa" w:w="2948"/>
          </w:tcPr>
          <w:p>
            <w:pPr>
              <w:spacing w:line="240" w:lineRule="auto"/>
            </w:pPr>
            <w:r>
              <w:rPr>
                <w:rFonts w:ascii="Times New Roman" w:hAnsi="Times New Roman" w:eastAsia="宋体"/>
                <w:sz w:val="18"/>
              </w:rPr>
              <w:t>`src/scripts/common.py`</w:t>
            </w:r>
          </w:p>
        </w:tc>
        <w:tc>
          <w:tcPr>
            <w:tcW w:type="dxa" w:w="2948"/>
          </w:tcPr>
          <w:p>
            <w:pPr>
              <w:spacing w:line="240" w:lineRule="auto"/>
            </w:pPr>
            <w:r>
              <w:rPr>
                <w:rFonts w:ascii="Times New Roman" w:hAnsi="Times New Roman" w:eastAsia="宋体"/>
                <w:sz w:val="18"/>
              </w:rPr>
              <w:t>数据、政策、可行域、张量包构造</w:t>
            </w:r>
          </w:p>
        </w:tc>
      </w:tr>
      <w:tr>
        <w:tc>
          <w:tcPr>
            <w:tcW w:type="dxa" w:w="2948"/>
          </w:tcPr>
          <w:p>
            <w:pPr>
              <w:spacing w:line="240" w:lineRule="auto"/>
            </w:pPr>
            <w:r>
              <w:rPr>
                <w:rFonts w:ascii="Times New Roman" w:hAnsi="Times New Roman" w:eastAsia="宋体"/>
                <w:sz w:val="18"/>
              </w:rPr>
              <w:t>训练入口</w:t>
            </w:r>
          </w:p>
        </w:tc>
        <w:tc>
          <w:tcPr>
            <w:tcW w:type="dxa" w:w="2948"/>
          </w:tcPr>
          <w:p>
            <w:pPr>
              <w:spacing w:line="240" w:lineRule="auto"/>
            </w:pPr>
            <w:r>
              <w:rPr>
                <w:rFonts w:ascii="Times New Roman" w:hAnsi="Times New Roman" w:eastAsia="宋体"/>
                <w:sz w:val="18"/>
              </w:rPr>
              <w:t>`src/scripts/train.py`</w:t>
            </w:r>
          </w:p>
        </w:tc>
        <w:tc>
          <w:tcPr>
            <w:tcW w:type="dxa" w:w="2948"/>
          </w:tcPr>
          <w:p>
            <w:pPr>
              <w:spacing w:line="240" w:lineRule="auto"/>
            </w:pPr>
            <w:r>
              <w:rPr>
                <w:rFonts w:ascii="Times New Roman" w:hAnsi="Times New Roman" w:eastAsia="宋体"/>
                <w:sz w:val="18"/>
              </w:rPr>
              <w:t>HPSO 训练调用</w:t>
            </w:r>
          </w:p>
        </w:tc>
      </w:tr>
      <w:tr>
        <w:tc>
          <w:tcPr>
            <w:tcW w:type="dxa" w:w="2948"/>
          </w:tcPr>
          <w:p>
            <w:pPr>
              <w:spacing w:line="240" w:lineRule="auto"/>
            </w:pPr>
            <w:r>
              <w:rPr>
                <w:rFonts w:ascii="Times New Roman" w:hAnsi="Times New Roman" w:eastAsia="宋体"/>
                <w:sz w:val="18"/>
              </w:rPr>
              <w:t>评分核</w:t>
            </w:r>
          </w:p>
        </w:tc>
        <w:tc>
          <w:tcPr>
            <w:tcW w:type="dxa" w:w="2948"/>
          </w:tcPr>
          <w:p>
            <w:pPr>
              <w:spacing w:line="240" w:lineRule="auto"/>
            </w:pPr>
            <w:r>
              <w:rPr>
                <w:rFonts w:ascii="Times New Roman" w:hAnsi="Times New Roman" w:eastAsia="宋体"/>
                <w:sz w:val="18"/>
              </w:rPr>
              <w:t>`src/training/score_kernel.py`</w:t>
            </w:r>
          </w:p>
        </w:tc>
        <w:tc>
          <w:tcPr>
            <w:tcW w:type="dxa" w:w="2948"/>
          </w:tcPr>
          <w:p>
            <w:pPr>
              <w:spacing w:line="240" w:lineRule="auto"/>
            </w:pPr>
            <w:r>
              <w:rPr>
                <w:rFonts w:ascii="Times New Roman" w:hAnsi="Times New Roman" w:eastAsia="宋体"/>
                <w:sz w:val="18"/>
              </w:rPr>
              <w:t>周度底仓、小时修正、15 分钟结算、奖励函数</w:t>
            </w:r>
          </w:p>
        </w:tc>
      </w:tr>
      <w:tr>
        <w:tc>
          <w:tcPr>
            <w:tcW w:type="dxa" w:w="2948"/>
          </w:tcPr>
          <w:p>
            <w:pPr>
              <w:spacing w:line="240" w:lineRule="auto"/>
            </w:pPr>
            <w:r>
              <w:rPr>
                <w:rFonts w:ascii="Times New Roman" w:hAnsi="Times New Roman" w:eastAsia="宋体"/>
                <w:sz w:val="18"/>
              </w:rPr>
              <w:t>物化回测</w:t>
            </w:r>
          </w:p>
        </w:tc>
        <w:tc>
          <w:tcPr>
            <w:tcW w:type="dxa" w:w="2948"/>
          </w:tcPr>
          <w:p>
            <w:pPr>
              <w:spacing w:line="240" w:lineRule="auto"/>
            </w:pPr>
            <w:r>
              <w:rPr>
                <w:rFonts w:ascii="Times New Roman" w:hAnsi="Times New Roman" w:eastAsia="宋体"/>
                <w:sz w:val="18"/>
              </w:rPr>
              <w:t>`src/backtest/materialize.py`</w:t>
            </w:r>
          </w:p>
        </w:tc>
        <w:tc>
          <w:tcPr>
            <w:tcW w:type="dxa" w:w="2948"/>
          </w:tcPr>
          <w:p>
            <w:pPr>
              <w:spacing w:line="240" w:lineRule="auto"/>
            </w:pPr>
            <w:r>
              <w:rPr>
                <w:rFonts w:ascii="Times New Roman" w:hAnsi="Times New Roman" w:eastAsia="宋体"/>
                <w:sz w:val="18"/>
              </w:rPr>
              <w:t>周度、小时、15 分钟结果输出</w:t>
            </w:r>
          </w:p>
        </w:tc>
      </w:tr>
      <w:tr>
        <w:tc>
          <w:tcPr>
            <w:tcW w:type="dxa" w:w="2948"/>
          </w:tcPr>
          <w:p>
            <w:pPr>
              <w:spacing w:line="240" w:lineRule="auto"/>
            </w:pPr>
            <w:r>
              <w:rPr>
                <w:rFonts w:ascii="Times New Roman" w:hAnsi="Times New Roman" w:eastAsia="宋体"/>
                <w:sz w:val="18"/>
              </w:rPr>
              <w:t>基准比较</w:t>
            </w:r>
          </w:p>
        </w:tc>
        <w:tc>
          <w:tcPr>
            <w:tcW w:type="dxa" w:w="2948"/>
          </w:tcPr>
          <w:p>
            <w:pPr>
              <w:spacing w:line="240" w:lineRule="auto"/>
            </w:pPr>
            <w:r>
              <w:rPr>
                <w:rFonts w:ascii="Times New Roman" w:hAnsi="Times New Roman" w:eastAsia="宋体"/>
                <w:sz w:val="18"/>
              </w:rPr>
              <w:t>`src/analysis/benchmarks.py`</w:t>
            </w:r>
          </w:p>
        </w:tc>
        <w:tc>
          <w:tcPr>
            <w:tcW w:type="dxa" w:w="2948"/>
          </w:tcPr>
          <w:p>
            <w:pPr>
              <w:spacing w:line="240" w:lineRule="auto"/>
            </w:pPr>
            <w:r>
              <w:rPr>
                <w:rFonts w:ascii="Times New Roman" w:hAnsi="Times New Roman" w:eastAsia="宋体"/>
                <w:sz w:val="18"/>
              </w:rPr>
              <w:t>`dynamic_lock_only` 等基准策略</w:t>
            </w:r>
          </w:p>
        </w:tc>
      </w:tr>
      <w:tr>
        <w:tc>
          <w:tcPr>
            <w:tcW w:type="dxa" w:w="2948"/>
          </w:tcPr>
          <w:p>
            <w:pPr>
              <w:spacing w:line="240" w:lineRule="auto"/>
            </w:pPr>
            <w:r>
              <w:rPr>
                <w:rFonts w:ascii="Times New Roman" w:hAnsi="Times New Roman" w:eastAsia="宋体"/>
                <w:sz w:val="18"/>
              </w:rPr>
              <w:t>政策解析</w:t>
            </w:r>
          </w:p>
        </w:tc>
        <w:tc>
          <w:tcPr>
            <w:tcW w:type="dxa" w:w="2948"/>
          </w:tcPr>
          <w:p>
            <w:pPr>
              <w:spacing w:line="240" w:lineRule="auto"/>
            </w:pPr>
            <w:r>
              <w:rPr>
                <w:rFonts w:ascii="Times New Roman" w:hAnsi="Times New Roman" w:eastAsia="宋体"/>
                <w:sz w:val="18"/>
              </w:rPr>
              <w:t>`src/policy/policy_parser.py`</w:t>
            </w:r>
          </w:p>
        </w:tc>
        <w:tc>
          <w:tcPr>
            <w:tcW w:type="dxa" w:w="2948"/>
          </w:tcPr>
          <w:p>
            <w:pPr>
              <w:spacing w:line="240" w:lineRule="auto"/>
            </w:pPr>
            <w:r>
              <w:rPr>
                <w:rFonts w:ascii="Times New Roman" w:hAnsi="Times New Roman" w:eastAsia="宋体"/>
                <w:sz w:val="18"/>
              </w:rPr>
              <w:t>政策文件清单、规则表和失败清单</w:t>
            </w:r>
          </w:p>
        </w:tc>
      </w:tr>
      <w:tr>
        <w:tc>
          <w:tcPr>
            <w:tcW w:type="dxa" w:w="2948"/>
          </w:tcPr>
          <w:p>
            <w:pPr>
              <w:spacing w:line="240" w:lineRule="auto"/>
            </w:pPr>
            <w:r>
              <w:rPr>
                <w:rFonts w:ascii="Times New Roman" w:hAnsi="Times New Roman" w:eastAsia="宋体"/>
                <w:sz w:val="18"/>
              </w:rPr>
              <w:t>可行域编译</w:t>
            </w:r>
          </w:p>
        </w:tc>
        <w:tc>
          <w:tcPr>
            <w:tcW w:type="dxa" w:w="2948"/>
          </w:tcPr>
          <w:p>
            <w:pPr>
              <w:spacing w:line="240" w:lineRule="auto"/>
            </w:pPr>
            <w:r>
              <w:rPr>
                <w:rFonts w:ascii="Times New Roman" w:hAnsi="Times New Roman" w:eastAsia="宋体"/>
                <w:sz w:val="18"/>
              </w:rPr>
              <w:t>`src/policy/feasible_domain.py`</w:t>
            </w:r>
          </w:p>
        </w:tc>
        <w:tc>
          <w:tcPr>
            <w:tcW w:type="dxa" w:w="2948"/>
          </w:tcPr>
          <w:p>
            <w:pPr>
              <w:spacing w:line="240" w:lineRule="auto"/>
            </w:pPr>
            <w:r>
              <w:rPr>
                <w:rFonts w:ascii="Times New Roman" w:hAnsi="Times New Roman" w:eastAsia="宋体"/>
                <w:sz w:val="18"/>
              </w:rPr>
              <w:t>周度和小时级动作边界</w:t>
            </w:r>
          </w:p>
        </w:tc>
      </w:tr>
      <w:tr>
        <w:tc>
          <w:tcPr>
            <w:tcW w:type="dxa" w:w="2948"/>
          </w:tcPr>
          <w:p>
            <w:pPr>
              <w:spacing w:line="240" w:lineRule="auto"/>
            </w:pPr>
            <w:r>
              <w:rPr>
                <w:rFonts w:ascii="Times New Roman" w:hAnsi="Times New Roman" w:eastAsia="宋体"/>
                <w:sz w:val="18"/>
              </w:rPr>
              <w:t>正式报告</w:t>
            </w:r>
          </w:p>
        </w:tc>
        <w:tc>
          <w:tcPr>
            <w:tcW w:type="dxa" w:w="2948"/>
          </w:tcPr>
          <w:p>
            <w:pPr>
              <w:spacing w:line="240" w:lineRule="auto"/>
            </w:pPr>
            <w:r>
              <w:rPr>
                <w:rFonts w:ascii="Times New Roman" w:hAnsi="Times New Roman" w:eastAsia="宋体"/>
                <w:sz w:val="18"/>
              </w:rPr>
              <w:t>`outputs/v0.50/reports/v0.50_human_report.md`</w:t>
            </w:r>
          </w:p>
        </w:tc>
        <w:tc>
          <w:tcPr>
            <w:tcW w:type="dxa" w:w="2948"/>
          </w:tcPr>
          <w:p>
            <w:pPr>
              <w:spacing w:line="240" w:lineRule="auto"/>
            </w:pPr>
            <w:r>
              <w:rPr>
                <w:rFonts w:ascii="Times New Roman" w:hAnsi="Times New Roman" w:eastAsia="宋体"/>
                <w:sz w:val="18"/>
              </w:rPr>
              <w:t>论文第五章主结果入口</w:t>
            </w:r>
          </w:p>
        </w:tc>
      </w:tr>
      <w:tr>
        <w:tc>
          <w:tcPr>
            <w:tcW w:type="dxa" w:w="2948"/>
          </w:tcPr>
          <w:p>
            <w:pPr>
              <w:spacing w:line="240" w:lineRule="auto"/>
            </w:pPr>
            <w:r>
              <w:rPr>
                <w:rFonts w:ascii="Times New Roman" w:hAnsi="Times New Roman" w:eastAsia="宋体"/>
                <w:sz w:val="18"/>
              </w:rPr>
              <w:t>结果索引</w:t>
            </w:r>
          </w:p>
        </w:tc>
        <w:tc>
          <w:tcPr>
            <w:tcW w:type="dxa" w:w="2948"/>
          </w:tcPr>
          <w:p>
            <w:pPr>
              <w:spacing w:line="240" w:lineRule="auto"/>
            </w:pPr>
            <w:r>
              <w:rPr>
                <w:rFonts w:ascii="Times New Roman" w:hAnsi="Times New Roman" w:eastAsia="宋体"/>
                <w:sz w:val="18"/>
              </w:rPr>
              <w:t>`outputs/v0.50/artifact_index.md`</w:t>
            </w:r>
          </w:p>
        </w:tc>
        <w:tc>
          <w:tcPr>
            <w:tcW w:type="dxa" w:w="2948"/>
          </w:tcPr>
          <w:p>
            <w:pPr>
              <w:spacing w:line="240" w:lineRule="auto"/>
            </w:pPr>
            <w:r>
              <w:rPr>
                <w:rFonts w:ascii="Times New Roman" w:hAnsi="Times New Roman" w:eastAsia="宋体"/>
                <w:sz w:val="18"/>
              </w:rPr>
              <w:t>产物路径核验</w:t>
            </w:r>
          </w:p>
        </w:tc>
      </w:tr>
      <w:tr>
        <w:tc>
          <w:tcPr>
            <w:tcW w:type="dxa" w:w="2948"/>
          </w:tcPr>
          <w:p>
            <w:pPr>
              <w:spacing w:line="240" w:lineRule="auto"/>
            </w:pPr>
            <w:r>
              <w:rPr>
                <w:rFonts w:ascii="Times New Roman" w:hAnsi="Times New Roman" w:eastAsia="宋体"/>
                <w:sz w:val="18"/>
              </w:rPr>
              <w:t>远程验证</w:t>
            </w:r>
          </w:p>
        </w:tc>
        <w:tc>
          <w:tcPr>
            <w:tcW w:type="dxa" w:w="2948"/>
          </w:tcPr>
          <w:p>
            <w:pPr>
              <w:spacing w:line="240" w:lineRule="auto"/>
            </w:pPr>
            <w:r>
              <w:rPr>
                <w:rFonts w:ascii="Times New Roman" w:hAnsi="Times New Roman" w:eastAsia="宋体"/>
                <w:sz w:val="18"/>
              </w:rPr>
              <w:t>`outputs/v0.50/raw/remote_jupyter/jupyter-20260511Tv050-r2/remote_jupyter_run_manifest.json`</w:t>
            </w:r>
          </w:p>
        </w:tc>
        <w:tc>
          <w:tcPr>
            <w:tcW w:type="dxa" w:w="2948"/>
          </w:tcPr>
          <w:p>
            <w:pPr>
              <w:spacing w:line="240" w:lineRule="auto"/>
            </w:pPr>
            <w:r>
              <w:rPr>
                <w:rFonts w:ascii="Times New Roman" w:hAnsi="Times New Roman" w:eastAsia="宋体"/>
                <w:sz w:val="18"/>
              </w:rPr>
              <w:t>pipeline 与 pytest 返回码</w:t>
            </w:r>
          </w:p>
        </w:tc>
      </w:tr>
    </w:tbl>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政策来源说明</w:t>
      </w:r>
    </w:p>
    <w:p>
      <w:pPr>
        <w:spacing w:line="300" w:lineRule="auto"/>
        <w:ind w:firstLine="420"/>
      </w:pPr>
      <w:r>
        <w:rPr>
          <w:rFonts w:ascii="Times New Roman" w:hAnsi="Times New Roman" w:eastAsia="宋体"/>
          <w:sz w:val="22"/>
        </w:rPr>
        <w:t>本文政策材料来自项目 `政策环境/` 目录和 v0.50 结构化政策产物。政策文件包括湖南省电力中长期实施细则、湖南省电力现货市场交易实施细则、湖南省电力零售市场交易规则、湖南省电力市场计量实施规则、关于进一步加强湖南电力辅助服务市场建设有关事项的通知、湖南省深化新能源上网电价市场化改革促进新能源高质量发展实施方案、湖南省新能源机制电价竞价实施细则、关于2025年度新能源机制电价竞价工作有关事项的通知、关于完善2026年度电力中长期交易价格机制的通知等。政策文件用于制度时点、结算口径、状态变量和可行域边界说明，不并入下列学术参考文献编号。</w:t>
      </w:r>
    </w:p>
    <w:p>
      <w:pPr>
        <w:sectPr>
          <w:pgSz w:w="11906" w:h="16838"/>
          <w:pgMar w:top="1417" w:right="1474" w:bottom="1417" w:left="1587" w:header="720" w:footer="720" w:gutter="0"/>
          <w:cols w:space="720"/>
          <w:docGrid w:linePitch="360"/>
        </w:sectPr>
      </w:pPr>
    </w:p>
    <w:p>
      <w:pPr>
        <w:pStyle w:val="Heading1"/>
        <w:jc w:val="center"/>
      </w:pPr>
      <w:r>
        <w:rPr>
          <w:rFonts w:ascii="Times New Roman" w:hAnsi="Times New Roman" w:eastAsia="宋体"/>
          <w:sz w:val="32"/>
        </w:rPr>
        <w:t>参考文献</w:t>
      </w:r>
    </w:p>
    <w:p>
      <w:pPr>
        <w:spacing w:line="276" w:lineRule="auto"/>
      </w:pPr>
      <w:r>
        <w:rPr>
          <w:rFonts w:ascii="Times New Roman" w:hAnsi="Times New Roman" w:eastAsia="宋体"/>
          <w:sz w:val="22"/>
        </w:rPr>
        <w:t>[1] 骆子雅, 季天瑶, 荆朝霞, 等. 电力差价合约机制设计与应用[J]. 电网技术, 2019, 43(8): 2743-2751.</w:t>
      </w:r>
    </w:p>
    <w:p>
      <w:pPr>
        <w:spacing w:line="276" w:lineRule="auto"/>
      </w:pPr>
      <w:r>
        <w:rPr>
          <w:rFonts w:ascii="Times New Roman" w:hAnsi="Times New Roman" w:eastAsia="宋体"/>
          <w:sz w:val="22"/>
        </w:rPr>
        <w:t>[2] 杨甲甲, 赵俊华, 文福拴, 等. 电力零售核心业务架构与购售电决策[J]. 电力系统自动化, 2017, 41(14): 10-18.</w:t>
      </w:r>
    </w:p>
    <w:p>
      <w:pPr>
        <w:spacing w:line="276" w:lineRule="auto"/>
      </w:pPr>
      <w:r>
        <w:rPr>
          <w:rFonts w:ascii="Times New Roman" w:hAnsi="Times New Roman" w:eastAsia="宋体"/>
          <w:sz w:val="22"/>
        </w:rPr>
        <w:t>[3] 尚楠, 陈政, 卢治霖, 等. 电力市场、碳市场及绿证市场互动机理及协调机制[J]. 电网技术, 2023, 47(1): 142-154.</w:t>
      </w:r>
    </w:p>
    <w:p>
      <w:pPr>
        <w:spacing w:line="276" w:lineRule="auto"/>
      </w:pPr>
      <w:r>
        <w:rPr>
          <w:rFonts w:ascii="Times New Roman" w:hAnsi="Times New Roman" w:eastAsia="宋体"/>
          <w:sz w:val="22"/>
        </w:rPr>
        <w:t>[4] 李道强, 龚建荣, 李忠憓, 等. 电力市场环境下的差价合约电量分解问题[J]. 电力科学与技术学报, 2020, 35(1): 40-49.</w:t>
      </w:r>
    </w:p>
    <w:p>
      <w:pPr>
        <w:spacing w:line="276" w:lineRule="auto"/>
      </w:pPr>
      <w:r>
        <w:rPr>
          <w:rFonts w:ascii="Times New Roman" w:hAnsi="Times New Roman" w:eastAsia="宋体"/>
          <w:sz w:val="22"/>
        </w:rPr>
        <w:t>[5] 樊宇琦, 丁涛, 孙瑜歌, 等. 国内外促进可再生能源消纳的电力现货市场发展综述与思考[J]. 中国电机工程学报, 2021, 41(5): 1729-1752.</w:t>
      </w:r>
    </w:p>
    <w:p>
      <w:pPr>
        <w:spacing w:line="276" w:lineRule="auto"/>
      </w:pPr>
      <w:r>
        <w:rPr>
          <w:rFonts w:ascii="Times New Roman" w:hAnsi="Times New Roman" w:eastAsia="宋体"/>
          <w:sz w:val="22"/>
        </w:rPr>
        <w:t>[6] 周明, 严宇, 丁琪, 等. 国外典型电力市场交易结算机制及对中国的启示[J]. 电力系统自动化, 2017, 41(20): 1-8.</w:t>
      </w:r>
    </w:p>
    <w:p>
      <w:pPr>
        <w:spacing w:line="276" w:lineRule="auto"/>
      </w:pPr>
      <w:r>
        <w:rPr>
          <w:rFonts w:ascii="Times New Roman" w:hAnsi="Times New Roman" w:eastAsia="宋体"/>
          <w:sz w:val="22"/>
        </w:rPr>
        <w:t>[7] 邹鹏, 陈启鑫, 夏清, 等. 国外电力现货市场建设的逻辑分析及对中国的启示与建议[J]. 电力系统自动化, 2014, 38(13): 18-27.</w:t>
      </w:r>
    </w:p>
    <w:p>
      <w:pPr>
        <w:spacing w:line="276" w:lineRule="auto"/>
      </w:pPr>
      <w:r>
        <w:rPr>
          <w:rFonts w:ascii="Times New Roman" w:hAnsi="Times New Roman" w:eastAsia="宋体"/>
          <w:sz w:val="22"/>
        </w:rPr>
        <w:t>[8] 杨萌, 艾欣, 唐亮, 等. 计及风险规避的售电公司平衡市场优化交易策略研究[J]. 电网技术, 2016, 40(11): 3300-3309.</w:t>
      </w:r>
    </w:p>
    <w:p>
      <w:pPr>
        <w:spacing w:line="276" w:lineRule="auto"/>
      </w:pPr>
      <w:r>
        <w:rPr>
          <w:rFonts w:ascii="Times New Roman" w:hAnsi="Times New Roman" w:eastAsia="宋体"/>
          <w:sz w:val="22"/>
        </w:rPr>
        <w:t>[9] 任艺, 周明, 李庚银. 考虑用户需求响应的售电公司购售电决策双层模型[J]. 电力系统自动化, 2017, 41(14): 30-36.</w:t>
      </w:r>
    </w:p>
    <w:p>
      <w:pPr>
        <w:spacing w:line="276" w:lineRule="auto"/>
      </w:pPr>
      <w:r>
        <w:rPr>
          <w:rFonts w:ascii="Times New Roman" w:hAnsi="Times New Roman" w:eastAsia="宋体"/>
          <w:sz w:val="22"/>
        </w:rPr>
        <w:t>[10] 彭一海, 刘继春, 刘俊勇. 两级电力市场环境下考虑多类型零售套餐的售电公司购售电策略[J]. 电网技术, 2022, 46(3): 944-955,中插6-中插7.</w:t>
      </w:r>
    </w:p>
    <w:p>
      <w:pPr>
        <w:spacing w:line="276" w:lineRule="auto"/>
      </w:pPr>
      <w:r>
        <w:rPr>
          <w:rFonts w:ascii="Times New Roman" w:hAnsi="Times New Roman" w:eastAsia="宋体"/>
          <w:sz w:val="22"/>
        </w:rPr>
        <w:t>[11] 肖云鹏, 王锡凡, 王秀丽, 等. 面向高比例可再生能源的电力市场研究综述[J]. 中国电机工程学报, 2018, 38(3): 663-674.</w:t>
      </w:r>
    </w:p>
    <w:p>
      <w:pPr>
        <w:spacing w:line="276" w:lineRule="auto"/>
      </w:pPr>
      <w:r>
        <w:rPr>
          <w:rFonts w:ascii="Times New Roman" w:hAnsi="Times New Roman" w:eastAsia="宋体"/>
          <w:sz w:val="22"/>
        </w:rPr>
        <w:t>[12] 马辉, 陈雨果, 陈晔, 等. 南方(以广东起步)电力现货市场机制设计[J]. 南方电网技术, 2018, 12(12): 42-48.</w:t>
      </w:r>
    </w:p>
    <w:p>
      <w:pPr>
        <w:spacing w:line="276" w:lineRule="auto"/>
      </w:pPr>
      <w:r>
        <w:rPr>
          <w:rFonts w:ascii="Times New Roman" w:hAnsi="Times New Roman" w:eastAsia="宋体"/>
          <w:sz w:val="22"/>
        </w:rPr>
        <w:t>[13] 王小昂, 邹鹏, 任远, 等. 山西电力现货市场中长期与现货衔接问题及对策[J]. 电网技术, 2022, 46(1): 20-27.</w:t>
      </w:r>
    </w:p>
    <w:p>
      <w:pPr>
        <w:spacing w:line="276" w:lineRule="auto"/>
      </w:pPr>
      <w:r>
        <w:rPr>
          <w:rFonts w:ascii="Times New Roman" w:hAnsi="Times New Roman" w:eastAsia="宋体"/>
          <w:sz w:val="22"/>
        </w:rPr>
        <w:t>[14] 王林炎, 张粒子, 张凡, 等. 售电公司购售电业务决策与风险评估[J]. 电力系统自动化, 2018, 42(1): 47-54.</w:t>
      </w:r>
    </w:p>
    <w:p>
      <w:pPr>
        <w:spacing w:line="276" w:lineRule="auto"/>
      </w:pPr>
      <w:r>
        <w:rPr>
          <w:rFonts w:ascii="Times New Roman" w:hAnsi="Times New Roman" w:eastAsia="宋体"/>
          <w:sz w:val="22"/>
        </w:rPr>
        <w:t>[15] 罗舒瀚, 蒋传文, 王旭, 等. 新电改背景下售电公司的购售电策略及风险评估[J]. 电网技术, 2019, 43(3): 944-953.</w:t>
      </w:r>
    </w:p>
    <w:p>
      <w:pPr>
        <w:spacing w:line="276" w:lineRule="auto"/>
      </w:pPr>
      <w:r>
        <w:rPr>
          <w:rFonts w:ascii="Times New Roman" w:hAnsi="Times New Roman" w:eastAsia="宋体"/>
          <w:sz w:val="22"/>
        </w:rPr>
        <w:t>[16] 胡晨, 杜松怀, 苏娟, 等. 新电改背景下我国售电公司的购售电途径与经营模式探讨[J]. 电网技术, 2016, 40(11): 3293-3299.</w:t>
      </w:r>
    </w:p>
    <w:p>
      <w:pPr>
        <w:spacing w:line="276" w:lineRule="auto"/>
      </w:pPr>
      <w:r>
        <w:rPr>
          <w:rFonts w:ascii="Times New Roman" w:hAnsi="Times New Roman" w:eastAsia="宋体"/>
          <w:sz w:val="22"/>
        </w:rPr>
        <w:t>[17] 宋永华, 包铭磊, 丁一, 等. 新电改下我国电力现货市场建设关键要点综述及相关建议[J]. 中国电机工程学报, 2020, 40(10): 3172-3187.</w:t>
      </w:r>
    </w:p>
    <w:p>
      <w:pPr>
        <w:spacing w:line="276" w:lineRule="auto"/>
      </w:pPr>
      <w:r>
        <w:rPr>
          <w:rFonts w:ascii="Times New Roman" w:hAnsi="Times New Roman" w:eastAsia="宋体"/>
          <w:sz w:val="22"/>
        </w:rPr>
        <w:t>[18] 王彩霞, 时智勇, 梁志峰, 等. 新能源为主体电力系统的需求侧资源利用关键技术及展望[J]. 电力系统自动化, 2021, 45(16): 37-48.</w:t>
      </w:r>
    </w:p>
    <w:p>
      <w:pPr>
        <w:spacing w:line="276" w:lineRule="auto"/>
      </w:pPr>
      <w:r>
        <w:rPr>
          <w:rFonts w:ascii="Times New Roman" w:hAnsi="Times New Roman" w:eastAsia="宋体"/>
          <w:sz w:val="22"/>
        </w:rPr>
        <w:t>[19] 张钦, 王锡凡, 王建学. 需求侧实时电价下供电商购售电风险决策[J]. 电力系统自动化, 2010, 34(3): 22-27.</w:t>
      </w:r>
    </w:p>
    <w:p>
      <w:pPr>
        <w:spacing w:line="276" w:lineRule="auto"/>
      </w:pPr>
      <w:r>
        <w:rPr>
          <w:rFonts w:ascii="Times New Roman" w:hAnsi="Times New Roman" w:eastAsia="宋体"/>
          <w:sz w:val="22"/>
        </w:rPr>
        <w:t>[20] 方宇娟, 杨汶瑾, 李姚旺, 等. 中国绿电交易市场机制研究综述及发展展望[J/OL]. 电力系统自动化, 2025. https://kns.cnki.net/KCMS/detail/detail.aspx?dbcode=CAPJ&amp;dbname=CAPJLAST&amp;filename=DLXT20250925001.</w:t>
      </w:r>
    </w:p>
    <w:p>
      <w:pPr>
        <w:spacing w:line="276" w:lineRule="auto"/>
      </w:pPr>
      <w:r>
        <w:rPr>
          <w:rFonts w:ascii="Times New Roman" w:hAnsi="Times New Roman" w:eastAsia="宋体"/>
          <w:sz w:val="22"/>
        </w:rPr>
        <w:t>[21] Deb K. An efficient constraint handling method for genetic algorithms[J]. Computer Methods in Applied Mechanics and Engineering, 2000, 186(2-4): 311-338.</w:t>
      </w:r>
    </w:p>
    <w:p>
      <w:pPr>
        <w:spacing w:line="276" w:lineRule="auto"/>
      </w:pPr>
      <w:r>
        <w:rPr>
          <w:rFonts w:ascii="Times New Roman" w:hAnsi="Times New Roman" w:eastAsia="宋体"/>
          <w:sz w:val="22"/>
        </w:rPr>
        <w:t>[22] Artzner P, Delbaen F, Eber J M, et al. COHERENT MEASURES OF RISK[J]. Mathematical Finance, 1999, 9(3): 203-228.</w:t>
      </w:r>
    </w:p>
    <w:p>
      <w:pPr>
        <w:spacing w:line="276" w:lineRule="auto"/>
      </w:pPr>
      <w:r>
        <w:rPr>
          <w:rFonts w:ascii="Times New Roman" w:hAnsi="Times New Roman" w:eastAsia="宋体"/>
          <w:sz w:val="22"/>
        </w:rPr>
        <w:t>[23] Boroumand R H, Goutte S, Porcher S, et al. Hedging strategies in energy markets: The case of electricity retailers[J]. Energy Economics, 2015, 51: 503-509.</w:t>
      </w:r>
    </w:p>
    <w:p>
      <w:pPr>
        <w:spacing w:line="276" w:lineRule="auto"/>
      </w:pPr>
      <w:r>
        <w:rPr>
          <w:rFonts w:ascii="Times New Roman" w:hAnsi="Times New Roman" w:eastAsia="宋体"/>
          <w:sz w:val="22"/>
        </w:rPr>
        <w:t>[24] Rockafellar R T, Uryasev S. Optimization of conditional value-at-risk[J]. The Journal of Risk, 2000, 2(3): 21-41.</w:t>
      </w:r>
    </w:p>
    <w:p>
      <w:pPr>
        <w:spacing w:line="276" w:lineRule="auto"/>
      </w:pPr>
      <w:r>
        <w:rPr>
          <w:rFonts w:ascii="Times New Roman" w:hAnsi="Times New Roman" w:eastAsia="宋体"/>
          <w:sz w:val="22"/>
        </w:rPr>
        <w:t>[25] Kettunen J, Salo A, Bunn D W. Optimization of Electricity Retailer’s Contract Portfolio Subject to Risk Preferences[J]. IEEE Transactions on Power Systems, 2010, 25(1): 117-128.</w:t>
      </w:r>
    </w:p>
    <w:p>
      <w:pPr>
        <w:spacing w:line="276" w:lineRule="auto"/>
      </w:pPr>
      <w:r>
        <w:rPr>
          <w:rFonts w:ascii="Times New Roman" w:hAnsi="Times New Roman" w:eastAsia="宋体"/>
          <w:sz w:val="22"/>
        </w:rPr>
        <w:t>[26] Poli R, Kennedy J, Blackwell T. Particle swarm optimization: An overview[J]. Swarm Intelligence, 2007, 1(1): 33-57.</w:t>
      </w:r>
    </w:p>
    <w:p>
      <w:pPr>
        <w:spacing w:line="276" w:lineRule="auto"/>
      </w:pPr>
      <w:r>
        <w:rPr>
          <w:rFonts w:ascii="Times New Roman" w:hAnsi="Times New Roman" w:eastAsia="宋体"/>
          <w:sz w:val="22"/>
        </w:rPr>
        <w:t>[27] Del Valle Y, Venayagamoorthy G K, Mohagheghi S, et al. Particle Swarm Optimization: Basic Concepts, Variants and Applications in Power Systems[J]. IEEE Transactions on Evolutionary Computation, 2008, 12(2): 171-195.</w:t>
      </w:r>
    </w:p>
    <w:p>
      <w:pPr>
        <w:spacing w:line="276" w:lineRule="auto"/>
      </w:pPr>
      <w:r>
        <w:rPr>
          <w:rFonts w:ascii="Times New Roman" w:hAnsi="Times New Roman" w:eastAsia="宋体"/>
          <w:sz w:val="22"/>
        </w:rPr>
        <w:t>[28] Xu J, Luh P B, White F B, et al. Power Portfolio Optimization in Deregulated Electricity Markets With Risk Management[J]. IEEE Transactions on Power Systems, 2006, 21(4): 1653-1662.</w:t>
      </w:r>
    </w:p>
    <w:p>
      <w:pPr>
        <w:spacing w:line="276" w:lineRule="auto"/>
      </w:pPr>
      <w:r>
        <w:rPr>
          <w:rFonts w:ascii="Times New Roman" w:hAnsi="Times New Roman" w:eastAsia="宋体"/>
          <w:sz w:val="22"/>
        </w:rPr>
        <w:t>[29] Bao M. Risk assessment and management of electricity markets: A review with suggestions[J/OL]. CSEE Journal of Power and Energy Systems, 2021. DOI:10.17775/CSEEJPES.2020.04250.</w:t>
      </w:r>
    </w:p>
    <w:p>
      <w:pPr>
        <w:spacing w:line="276" w:lineRule="auto"/>
      </w:pPr>
      <w:r>
        <w:rPr>
          <w:rFonts w:ascii="Times New Roman" w:hAnsi="Times New Roman" w:eastAsia="宋体"/>
          <w:sz w:val="22"/>
        </w:rPr>
        <w:t>[30] Clerc M, Kennedy J. The particle swarm - explosion, stability, and convergence in a multidimensional complex space[J]. IEEE Transactions on Evolutionary Computation, 2002, 6(1): 58-73.</w:t>
      </w:r>
    </w:p>
    <w:p>
      <w:pPr>
        <w:spacing w:line="276" w:lineRule="auto"/>
      </w:pPr>
      <w:r>
        <w:rPr>
          <w:rFonts w:ascii="Times New Roman" w:hAnsi="Times New Roman" w:eastAsia="宋体"/>
          <w:sz w:val="22"/>
        </w:rPr>
        <w:t>[31] Coello Coello C A. Theoretical and numerical constraint-handling techniques used with evolutionary algorithms: a survey of the state of the art[J]. Computer Methods in Applied Mechanics and Engineering, 2002, 191(11-12): 1245-1287.</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湖南电力市场售电公司多时间尺度采购策略优化研究</dc:title>
  <dc:subject>本科毕业论文最终审校版</dc:subject>
  <dc:creator>python-docx</dc:creator>
  <cp:keywords/>
  <dc:description>Final revised from D:/elec project evidence and outputs/v0.50 formal artifacts.</dc:description>
  <cp:lastModifiedBy/>
  <cp:revision>1</cp:revision>
  <dcterms:created xsi:type="dcterms:W3CDTF">2013-12-23T23:15:00Z</dcterms:created>
  <dcterms:modified xsi:type="dcterms:W3CDTF">2013-12-23T23:15:00Z</dcterms:modified>
  <cp:category/>
</cp:coreProperties>
</file>