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sz w:val="36"/>
        </w:rPr>
        <w:t>湖南电力市场售电公司多时间尺度采购策略优化研究——基于双层混合粒子群搜索与政策可行域约束</w:t>
      </w:r>
    </w:p>
    <w:p>
      <w:pPr>
        <w:pStyle w:val="Heading2"/>
      </w:pPr>
      <w:r>
        <w:rPr>
          <w:rFonts w:ascii="Times New Roman" w:hAnsi="Times New Roman" w:eastAsia="宋体"/>
          <w:sz w:val="28"/>
        </w:rPr>
        <w:t>摘要</w:t>
      </w:r>
    </w:p>
    <w:p>
      <w:pPr>
        <w:spacing w:line="300" w:lineRule="auto"/>
        <w:ind w:firstLine="420"/>
      </w:pPr>
      <w:r>
        <w:t>随着湖南电力市场中长期交易分时化、现货 15 分钟结算和新能源机制电价等制度变化推进，售电公司采购决策面临合同头寸、现货价格和负荷偏差的共同影响。本文以 2025 年 11 月 1 日至 2026 年 3 月 20 日为研究期，构建周度中长期底仓、小时级现货边际修正和 15 分钟代理结算相衔接的采购策略优化框架。模型将中长期合约作为批发侧成本锁定和结算风险管理工具，依据政策生效时点生成制度状态和可行域，并采用双层混合粒子群搜索生成可执行策略。结果显示，主策略在验证集未持续超过动态锁仓强基准，滚动回测中简单规则仍具竞争力，小时级现货净修正未被触发。研究表明，制度时点、强基准和交易摩擦会显著影响售电公司策略评价。</w:t>
      </w:r>
    </w:p>
    <w:p>
      <w:pPr>
        <w:spacing w:line="300" w:lineRule="auto"/>
        <w:ind w:firstLine="420"/>
      </w:pPr>
      <w:r>
        <w:t>关键词：售电公司；湖南电力市场；中长期合约；现货风险对冲；政策可行域</w:t>
      </w:r>
    </w:p>
    <w:p>
      <w:pPr>
        <w:pStyle w:val="Heading2"/>
      </w:pPr>
      <w:r>
        <w:rPr>
          <w:rFonts w:ascii="Times New Roman" w:hAnsi="Times New Roman" w:eastAsia="宋体"/>
          <w:sz w:val="28"/>
        </w:rPr>
        <w:t>Abstract</w:t>
      </w:r>
    </w:p>
    <w:p>
      <w:pPr>
        <w:spacing w:line="300" w:lineRule="auto"/>
        <w:ind w:firstLine="420"/>
      </w:pPr>
      <w:r>
        <w:t>As Hunan's electricity market moves toward time-segmented medium- and long-term transactions, 15-minute spot settlement and renewable pricing mechanisms, electricity retailers face joint exposure to contract positions, spot prices and load deviations. This thesis studies the period from November 1, 2025 to March 20, 2026 and builds a multi-timescale procurement framework linking weekly contract positioning, hourly spot marginal adjustment and 15-minute proxy settlement. Medium- and long-term contracts are modeled as instruments for wholesale cost locking and settlement risk management. Policy effective dates are transformed into institutional states and feasible-domain constraints, and a bi-level hybrid particle swarm search is used to generate executable strategies. The results show that the main strategy does not consistently outperform the dynamic lock-in baseline on the validation set; simple benchmark rules remain competitive in rolling backtests, and the hourly net spot adjustment channel is not activated in the formal rolling results. The findings indicate that policy timing, strong baselines and transaction frictions materially affect the evaluation of retailer procurement strategies.</w:t>
      </w:r>
    </w:p>
    <w:p>
      <w:pPr>
        <w:spacing w:line="300" w:lineRule="auto"/>
        <w:ind w:firstLine="420"/>
      </w:pPr>
      <w:r>
        <w:t>Key words: electricity retailer; Hunan electricity market; medium- and long-term contract; spot risk hedging; policy feasible domain</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第一章 绪论</w:t>
      </w:r>
    </w:p>
    <w:p>
      <w:pPr>
        <w:pStyle w:val="Heading2"/>
      </w:pPr>
      <w:r>
        <w:rPr>
          <w:rFonts w:ascii="Times New Roman" w:hAnsi="Times New Roman" w:eastAsia="宋体"/>
          <w:sz w:val="28"/>
        </w:rPr>
        <w:t>1.1 研究背景与问题提出</w:t>
      </w:r>
    </w:p>
    <w:p>
      <w:pPr>
        <w:spacing w:line="300" w:lineRule="auto"/>
        <w:ind w:firstLine="420"/>
      </w:pPr>
      <w:r>
        <w:t>电力市场化改革推动电力交易从计划性配置逐步走向中长期合约、现货交易、辅助服务和零售套餐协同运行的市场结构。现货市场通过分时价格反映系统供需和边际成本，中长期交易通过合同价格和分时曲线稳定市场主体的预期收益，两类机制共同影响售电公司的采购成本和风险暴露。已有关于差价合约和中长期电量分解的研究表明，中长期合约通过价格锁定和风险对冲影响市场主体收益[1][4]。这一判断对湖南市场尤为重要，因为研究期内湖南现货规则强调中长期合约作为结算依据，现货市场承担全电量集中竞价和价格发现职能。</w:t>
      </w:r>
    </w:p>
    <w:p>
      <w:pPr>
        <w:spacing w:line="300" w:lineRule="auto"/>
        <w:ind w:firstLine="420"/>
      </w:pPr>
      <w:r>
        <w:t>售电公司处在批发市场和零售用户之间，经营结果取决于购电成本、用户负荷曲线、合同头寸、偏差结算和制度状态。电力零售业务研究指出，售电公司的核心业务包含负荷预测、批发购电、零售合同设计和风险管理[2]；购售电风险研究进一步说明，价格风险、数量风险和合同风险会共同影响收益稳定性[14][15]。在现货市场推进和新能源出力波动增强的背景下，售电公司的风险来源包括合同覆盖率与实际负荷之间的偏差、日前与日内价格价差、机制电价执行时点变化，以及辅助服务耦合状态对交易空间的影响。</w:t>
      </w:r>
    </w:p>
    <w:p>
      <w:pPr>
        <w:spacing w:line="300" w:lineRule="auto"/>
        <w:ind w:firstLine="420"/>
      </w:pPr>
      <w:r>
        <w:rPr>
          <w:rFonts w:ascii="Times New Roman" w:hAnsi="Times New Roman" w:eastAsia="宋体"/>
          <w:sz w:val="22"/>
        </w:rPr>
        <w:t>本文将研究窗口设定为 2025 年 11 月 1 日至 2026 年 3 月 20 日。该窗口覆盖湖南枯水期经营场景，也覆盖新能源机制电价自 2026 年 1 月 1 日进入执行期和 2026 年度中长期价格机制自 2026 年 2 月进入模型口径的关键阶段。因此，经验分析可以围绕一个较短但制度变化集中的样本期展开，重点考察售电公司在中长期底仓、现货边际修正和结算风险之间的权衡。</w:t>
      </w:r>
    </w:p>
    <w:p>
      <w:pPr>
        <w:spacing w:line="300" w:lineRule="auto"/>
        <w:ind w:firstLine="420"/>
      </w:pPr>
      <w:r>
        <w:t>围绕上述背景，本文将问题收束为：在湖南电力市场中，中长期合约作为结算性风险管理工具、现货市场承担边际价格形成职能、政策规则存在明确生效时点的条件下，售电公司如何在周度中长期底仓、小时级现货边际修正和 15 分钟代理结算之间形成可解释、可复核的采购策略。模型在回测中保留制度时点标签、动态锁仓强基准和 15 分钟结算层，用于识别政策时序、基准强度和结算粒度对策略评价的影响。</w:t>
      </w:r>
    </w:p>
    <w:p>
      <w:pPr>
        <w:pStyle w:val="Heading2"/>
      </w:pPr>
      <w:r>
        <w:rPr>
          <w:rFonts w:ascii="Times New Roman" w:hAnsi="Times New Roman" w:eastAsia="宋体"/>
          <w:sz w:val="28"/>
        </w:rPr>
        <w:t>1.2 研究意义与研究对象界定</w:t>
      </w:r>
    </w:p>
    <w:p>
      <w:pPr>
        <w:spacing w:line="300" w:lineRule="auto"/>
        <w:ind w:firstLine="420"/>
      </w:pPr>
      <w:r>
        <w:rPr>
          <w:rFonts w:ascii="Times New Roman" w:hAnsi="Times New Roman" w:eastAsia="宋体"/>
          <w:sz w:val="22"/>
        </w:rPr>
        <w:t>从理论意义看，本文把售电公司采购策略从静态合约比例问题推进到多时间尺度主动管理问题。已有电力市场衔接研究更多讨论市场机制设计、差价合约、分时电量分解和现货规则协调[1][4][13][17]，售电公司研究则集中于购售电业务模式、风险评估、零售套餐和组合优化[9][10][14][15]。本文在这些基础上引入三个层次的统一表达：周度中长期底仓决定风险管理基础，小时级现货修正决定短期边际响应，15 分钟代理结算决定成本和风险的最终评价口径。这样的组织方式使市场规则、策略动作和回测指标之间形成连续链条。</w:t>
      </w:r>
    </w:p>
    <w:p>
      <w:pPr>
        <w:spacing w:line="300" w:lineRule="auto"/>
        <w:ind w:firstLine="420"/>
      </w:pPr>
      <w:r>
        <w:t>从现实意义看，售电公司需要在用户侧负荷不确定和批发侧价格波动之间维持经营稳定。湖南市场研究期内的制度安排使这一问题更具代表性：中长期交易按 24 小时曲线管理，日前和日内现货价格以 96 个 15 分钟时段进入结算，零售侧用户同一合同周期内对应一家售电公司和一个结算套餐。本文据此将合同曲线、15 分钟结算和零售收益口径纳入同一采购策略评价框架。</w:t>
      </w:r>
    </w:p>
    <w:p>
      <w:pPr>
        <w:spacing w:line="300" w:lineRule="auto"/>
        <w:ind w:firstLine="420"/>
      </w:pPr>
      <w:r>
        <w:t>本文以湖南电力市场售电公司为研究主体，围绕中长期电能量交易、日前现货、日内或实时代理结算和零售收入测算构建采购策略模型。模型在批发采购侧描述合约底仓、风险带宽和现货边际修正，在收益端采用外生零售电价测算售电收入，并将辅助服务相关政策作为小时级带宽收缩和制度状态变量处理。</w:t>
      </w:r>
    </w:p>
    <w:p>
      <w:pPr>
        <w:pStyle w:val="Heading2"/>
      </w:pPr>
      <w:r>
        <w:rPr>
          <w:rFonts w:ascii="Times New Roman" w:hAnsi="Times New Roman" w:eastAsia="宋体"/>
          <w:sz w:val="28"/>
        </w:rPr>
        <w:t>1.3 国内外研究现状与评述</w:t>
      </w:r>
    </w:p>
    <w:p>
      <w:pPr>
        <w:spacing w:line="300" w:lineRule="auto"/>
        <w:ind w:firstLine="420"/>
      </w:pPr>
      <w:r>
        <w:rPr>
          <w:rFonts w:ascii="Times New Roman" w:hAnsi="Times New Roman" w:eastAsia="宋体"/>
          <w:sz w:val="22"/>
        </w:rPr>
        <w:t>第一类研究关注电力市场机制与中长期、现货交易衔接。差价合约机制设计研究指出，差价合约能够帮助市场主体锁定价格并缓释现货波动[1]。电力市场环境下的差价合约电量分解研究进一步说明，合同电量需要按照市场结算和分时曲线进行分解[4]。国内现货市场建设研究和国外现货市场经验研究则表明，现货市场通过分时价格承担价格发现功能，同时需要与中长期合约、辅助服务和零售机制保持协调[6][7][12][17]。这些文献为本文把中长期合约视为结算性头寸、把现货价格视为边际风险来源提供了基础。</w:t>
      </w:r>
    </w:p>
    <w:p>
      <w:pPr>
        <w:spacing w:line="300" w:lineRule="auto"/>
        <w:ind w:firstLine="420"/>
      </w:pPr>
      <w:r>
        <w:rPr>
          <w:rFonts w:ascii="Times New Roman" w:hAnsi="Times New Roman" w:eastAsia="宋体"/>
          <w:sz w:val="22"/>
        </w:rPr>
        <w:t>第二类研究聚焦售电公司购售电决策与风险管理。电力零售核心业务研究把售电公司经营拆分为需求预测、批发购电、零售合同和风险控制等环节[2]；新电改背景下的售电公司研究强调购售电路径、经营模式和风险评估的重要性[14][15][16]。考虑用户需求响应的双层模型、两级市场下多类型零售套餐模型和平衡市场优化交易策略均说明，售电公司决策具有多主体、多约束和收益风险权衡特征[8][9][10][19]。国外关于电力零售商合同组合和套期保值的研究同样强调价格风险、负荷风险和风险偏好之间的联动[23][25][28]。</w:t>
      </w:r>
    </w:p>
    <w:p>
      <w:pPr>
        <w:spacing w:line="300" w:lineRule="auto"/>
        <w:ind w:firstLine="420"/>
      </w:pPr>
      <w:r>
        <w:t>第三类研究讨论新能源市场化扰动和价格风险。高比例可再生能源会改变现货市场的出清结构、价格波动和灵活性需求[5][11][18]；绿电、绿证和碳市场协同研究则说明新能源市场化会通过价格信号和政策预期影响市场主体决策[3][20]。在本文模型中，新能源扰动作为售电公司现货风险和政策状态的一部分，影响价差信号、负荷偏差响应和制度可行域。</w:t>
      </w:r>
    </w:p>
    <w:p>
      <w:pPr>
        <w:spacing w:line="300" w:lineRule="auto"/>
        <w:ind w:firstLine="420"/>
      </w:pPr>
      <w:r>
        <w:t>第四类研究涉及粒子群优化、约束处理和策略搜索。经典粒子群优化通过随机搜索、个体经验和群体经验在连续空间中寻找较优解[26][30]，其惯性权重、收缩因子和变体已在电力系统优化中形成较多应用[27]。约束处理研究指出，复杂可行域中的策略优化需要处理参数范围、惩罚、可行性优先和投影等问题[21][31]。售电公司多市场购售电研究已将改进粒子群与 CVaR 风险度量结合起来[10]。本文采用随机粒子群搜索生成采购策略，并通过收益、风险和制度可执行性评价其经济表现。</w:t>
      </w:r>
    </w:p>
    <w:p>
      <w:pPr>
        <w:spacing w:line="300" w:lineRule="auto"/>
        <w:ind w:firstLine="420"/>
      </w:pPr>
      <w:r>
        <w:rPr>
          <w:rFonts w:ascii="Times New Roman" w:hAnsi="Times New Roman" w:eastAsia="宋体"/>
          <w:sz w:val="22"/>
        </w:rPr>
        <w:t>第五类研究关注尾部风险评价。Artzner 等提出的一致性风险度量为金融和电力组合风险提供了理论基础[22]，Rockafellar 和 Uryasev 对 CVaR 优化的研究为尾部损失建模提供了可操作形式[24]。电力市场风险管理综述指出，价格尖峰、负荷偏差和市场机制变化会共同影响风险评估[29]。本文将 CVaR99 与套保误差、交易摩擦、政策投影惩罚放入统一奖励函数，使策略评价不只受绝对利润驱动。</w:t>
      </w:r>
    </w:p>
    <w:p>
      <w:pPr>
        <w:spacing w:line="300" w:lineRule="auto"/>
        <w:ind w:firstLine="420"/>
      </w:pPr>
      <w:r>
        <w:rPr>
          <w:rFonts w:ascii="Times New Roman" w:hAnsi="Times New Roman" w:eastAsia="宋体"/>
          <w:sz w:val="22"/>
        </w:rPr>
        <w:t>综合来看，现有文献为本文提供了充分基础，但仍有三个不足需要回应：其一，地方市场制度的发布时间、生效时间和样本区间之间的关系在模型中经常处理不足；其二，售电公司周度合约头寸、小时级边际响应和 15 分钟结算结果之间缺少统一表达；其三，部分算法研究强调收益结果，对强基准、消融、稳健性和政策可执行性的解释不够充分。本文据此把上述三个问题放入湖南售电公司采购策略框架中，通过制度时序、可行域约束和多时间尺度结算建立可复核的模型链条。</w:t>
      </w:r>
    </w:p>
    <w:p>
      <w:pPr>
        <w:pStyle w:val="Heading2"/>
      </w:pPr>
      <w:r>
        <w:rPr>
          <w:rFonts w:ascii="Times New Roman" w:hAnsi="Times New Roman" w:eastAsia="宋体"/>
          <w:sz w:val="28"/>
        </w:rPr>
        <w:t>1.4 研究内容、研究方法与技术路线</w:t>
      </w:r>
    </w:p>
    <w:p>
      <w:pPr>
        <w:spacing w:line="300" w:lineRule="auto"/>
        <w:ind w:firstLine="420"/>
      </w:pPr>
      <w:r>
        <w:t>本文研究内容包括四个方面。第一，梳理湖南电力市场研究期内与售电公司采购策略相关的制度规则，区分政策发布时间和生效时间，形成制度状态和可行域。第二，构建周度中长期底仓、小时级现货边际修正和 15 分钟代理结算相衔接的数学模型。第三，使用随机粒子群搜索生成可执行采购策略，并保留动态锁仓强基准、固定持仓、无现货修正和简单滚动对冲等基准。第四，根据正式实验结果开展验证集、滚动回测、基准比较、消融和稳健性分析，重点解释收益、风险和制度约束之间的经济关系。</w:t>
      </w:r>
    </w:p>
    <w:p>
      <w:pPr>
        <w:spacing w:line="300" w:lineRule="auto"/>
        <w:ind w:firstLine="420"/>
      </w:pPr>
      <w:r>
        <w:rPr>
          <w:rFonts w:ascii="Times New Roman" w:hAnsi="Times New Roman" w:eastAsia="宋体"/>
          <w:sz w:val="22"/>
        </w:rPr>
        <w:t>研究方法包括规范分析、文献综述、政策规则结构化、数学建模、参数化策略搜索和回测评价。规范分析用于界定售电公司主体、市场环节和制度时点；文献综述用于提炼中长期合约、现货风险、粒子群约束优化和 CVaR 评价的理论基础；数学建模用于表达状态、动作、约束、结算和奖励；实验分析用于比较主策略与强基准、简单规则和消融情景之间的收益风险差异。</w:t>
      </w:r>
    </w:p>
    <w:p>
      <w:pPr>
        <w:spacing w:line="300" w:lineRule="auto"/>
        <w:ind w:firstLine="420"/>
      </w:pPr>
      <w:r>
        <w:rPr>
          <w:rFonts w:ascii="Times New Roman" w:hAnsi="Times New Roman" w:eastAsia="宋体"/>
          <w:sz w:val="22"/>
        </w:rPr>
        <w:t>全文共六章。第一章说明研究背景、文献基础和研究路线；第二章分析湖南电力市场制度基础和售电公司风险机理；第三章构建多时间尺度采购策略模型；第四章说明模型求解和实验设计；第五章展开实证结果分析；第六章归纳结论、管理启示和研究不足。</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第二章 理论基础与市场机制分析</w:t>
      </w:r>
    </w:p>
    <w:p>
      <w:pPr>
        <w:pStyle w:val="Heading2"/>
      </w:pPr>
      <w:r>
        <w:rPr>
          <w:rFonts w:ascii="Times New Roman" w:hAnsi="Times New Roman" w:eastAsia="宋体"/>
          <w:sz w:val="28"/>
        </w:rPr>
        <w:t>2.1 售电公司购售电业务与风险类型</w:t>
      </w:r>
    </w:p>
    <w:p>
      <w:pPr>
        <w:spacing w:line="300" w:lineRule="auto"/>
        <w:ind w:firstLine="420"/>
      </w:pPr>
      <w:r>
        <w:t>售电公司在市场化电力体系中连接批发交易和零售用户，其采购策略既要满足用户用电需求，又要控制批发侧价格波动和偏差结算风险。根据电力零售核心业务研究，售电公司的经营活动通常包括用户负荷预测、批发市场购电、零售合同设计、风险管理和结算管理[2]。在本文研究框架中，零售侧收入按外生零售电价测算，售电公司可主动调整中长期底仓、风险带宽和现货边际修正。这样的设置把零售收益口径和批发采购决策联系起来，便于评价合同头寸和现货敞口对利润的影响。</w:t>
      </w:r>
    </w:p>
    <w:p>
      <w:pPr>
        <w:spacing w:line="300" w:lineRule="auto"/>
        <w:ind w:firstLine="420"/>
      </w:pPr>
      <w:r>
        <w:rPr>
          <w:rFonts w:ascii="Times New Roman" w:hAnsi="Times New Roman" w:eastAsia="宋体"/>
          <w:sz w:val="22"/>
        </w:rPr>
        <w:t>本文将售电公司的主要风险分为四类。第一是价格风险，来自日前、日内或实时代理价格的波动以及中长期有效价的变化。第二是数量风险，来自预测净负荷与实际净负荷之间的偏差。第三是曲线风险，来自周度中长期底仓向 24 小时曲线和 15 分钟结算点分解时的结构错配。第四是制度风险，来自新能源机制电价、年度中长期价格联动、辅助服务耦合和零售侧约束等规则变化。</w:t>
      </w:r>
    </w:p>
    <w:p>
      <w:pPr>
        <w:spacing w:line="300" w:lineRule="auto"/>
        <w:ind w:firstLine="420"/>
      </w:pPr>
      <w:r>
        <w:rPr>
          <w:rFonts w:ascii="Times New Roman" w:hAnsi="Times New Roman" w:eastAsia="宋体"/>
          <w:sz w:val="22"/>
        </w:rPr>
        <w:t>这些风险并非相互独立。例如，负荷预测偏差会改变合约覆盖率，进而影响实际暴露于现货价格的电量；新能源出力波动会改变日前与日内价格关系，同时影响系统调节压力；制度状态收紧会压缩现货修正带宽，即使模型识别出交易信号，也可能因可行域约束难以执行。因此，本文采用多时间尺度结构：周度层处理合约头寸和风险预算，小时层处理边际价格和负荷信号，15 分钟层处理结算成本和风险指标。</w:t>
      </w:r>
    </w:p>
    <w:p>
      <w:pPr>
        <w:pStyle w:val="Heading2"/>
      </w:pPr>
      <w:r>
        <w:rPr>
          <w:rFonts w:ascii="Times New Roman" w:hAnsi="Times New Roman" w:eastAsia="宋体"/>
          <w:sz w:val="28"/>
        </w:rPr>
        <w:t>2.2 中长期交易、现货市场与零售侧衔接机制</w:t>
      </w:r>
    </w:p>
    <w:p>
      <w:pPr>
        <w:spacing w:line="300" w:lineRule="auto"/>
        <w:ind w:firstLine="420"/>
      </w:pPr>
      <w:r>
        <w:t>湖南现货规则中，中长期合约结果用于结算和风险管理，现货交易按照全电量集中竞价形成价格信号。本文据此将中长期合约写作批发侧成本锁定和结算风险管理工具，并在模型中通过合约底仓、24 小时曲线和 15 分钟结算映射其经济作用。这一处理与差价合约和分时电量分解相关文献的基本逻辑一致[1][4]。</w:t>
      </w:r>
    </w:p>
    <w:p>
      <w:pPr>
        <w:spacing w:line="300" w:lineRule="auto"/>
        <w:ind w:firstLine="420"/>
      </w:pPr>
      <w:r>
        <w:rPr>
          <w:rFonts w:ascii="Times New Roman" w:hAnsi="Times New Roman" w:eastAsia="宋体"/>
          <w:sz w:val="22"/>
        </w:rPr>
        <w:t>中长期交易在本文中按每日 24 小时曲线处理。日前和日内现货通过 15 分钟代理结算层进入成本、收益和风险指标。这样处理能够兼容模型内部小时级决策和市场结算的 96 点粒度，也能避免把小时级修正直接等同于市场最终结算结果。</w:t>
      </w:r>
    </w:p>
    <w:p>
      <w:pPr>
        <w:spacing w:line="300" w:lineRule="auto"/>
        <w:ind w:firstLine="420"/>
      </w:pPr>
      <w:r>
        <w:t>零售侧约束体现为收益端口径。同一合同周期内零售用户只能对应一家售电公司，同一结算周期仅可生效一个零售套餐。本文按实际需求和外生零售电价计算零售收入，将策略优化重点放在采购侧成本、风险和头寸管理上。</w:t>
      </w:r>
    </w:p>
    <w:p>
      <w:pPr>
        <w:pStyle w:val="Heading2"/>
      </w:pPr>
      <w:r>
        <w:rPr>
          <w:rFonts w:ascii="Times New Roman" w:hAnsi="Times New Roman" w:eastAsia="宋体"/>
          <w:sz w:val="28"/>
        </w:rPr>
        <w:t>2.3 湖南电力市场运行规则及政策环境</w:t>
      </w:r>
    </w:p>
    <w:p>
      <w:pPr>
        <w:spacing w:line="300" w:lineRule="auto"/>
        <w:ind w:firstLine="420"/>
      </w:pPr>
      <w:r>
        <w:rPr>
          <w:rFonts w:ascii="Times New Roman" w:hAnsi="Times New Roman" w:eastAsia="宋体"/>
          <w:sz w:val="22"/>
        </w:rPr>
        <w:t>本文的制度分析以研究期内可获得的湖南电力市场政策材料为来源，政策文件和制度原文按制度来源单独说明，不并入学术参考文献编号。政策材料涉及电力中长期交易实施细则、现货市场交易实施细则、零售市场交易规则、计量实施规则、辅助服务市场建设、新能源机制电价和 2026 年中长期价格机制等内容。经结构化整理后，本文形成 18 个政策来源文件、36 条结构化规则，未出现解析失败记录。</w:t>
      </w:r>
    </w:p>
    <w:p>
      <w:pPr>
        <w:spacing w:line="300" w:lineRule="auto"/>
        <w:ind w:firstLine="420"/>
      </w:pPr>
      <w:r>
        <w:t>本文按政策生效时间组织制度状态。新能源机制电价相关状态根据《关于2025年度新能源机制电价竞价工作有关事项的通知》自 2026 年 1 月 1 日进入执行期。2026 年度中长期合同“40% 固定价格 + 60% 灵活价格”口径自 2026 年 2 月份年度多月交易开始执行，本文按 2026 年 2 月 1 日作为月度代理时点进入结算口径。该处理把政策发布时间与生效时间分开，使 2025 年 11 月至 2026 年 1 月样本仍按当期适用规则进入回测。</w:t>
      </w:r>
    </w:p>
    <w:p>
      <w:pPr>
        <w:spacing w:line="300" w:lineRule="auto"/>
        <w:ind w:firstLine="420"/>
      </w:pPr>
      <w:r>
        <w:t>政策信息在模型中以制度状态形式表达。本文将政策规则转换为当前制度状态和四组前瞻制度状态，再进入周度特征、政策张量和可行域。该处理同时保留当前规则约束和未来制度变化的预期影响，使售电公司策略同时响应历史价格和制度状态变化。</w:t>
      </w:r>
    </w:p>
    <w:p>
      <w:pPr>
        <w:pStyle w:val="Heading2"/>
      </w:pPr>
      <w:r>
        <w:rPr>
          <w:rFonts w:ascii="Times New Roman" w:hAnsi="Times New Roman" w:eastAsia="宋体"/>
          <w:sz w:val="28"/>
        </w:rPr>
        <w:t>2.4 政策约束向制度状态和可行域的转化逻辑</w:t>
      </w:r>
    </w:p>
    <w:p>
      <w:pPr>
        <w:spacing w:line="300" w:lineRule="auto"/>
        <w:ind w:firstLine="420"/>
      </w:pPr>
      <w:r>
        <w:t>政策规则进入模型后，需要从文本口径转换为可计算约束。本文首先整理政策文件清单和结构化规则，再根据生效时点生成每个周度样本的制度状态，最后编译为可行域参数。可行域包括周度合约调整范围、现货带宽上下界、小时级份额上限、爬坡约束和非负计划约束。</w:t>
      </w:r>
    </w:p>
    <w:p>
      <w:pPr>
        <w:spacing w:line="300" w:lineRule="auto"/>
        <w:ind w:firstLine="420"/>
      </w:pPr>
      <w:r>
        <w:t>从结果看，2026 年 2 月以后的正式验证周同时受到中长期价格联动、辅助服务收紧和新能源机制执行状态约束，说明制度变化会共同压缩策略空间。政策可行域将制度文本落实为动作上限、下限和投影记录。当周度合约调整或小时级现货修正触及可行域时，模型保留原始意图与执行动作之间的差距，并将其作为政策投影惩罚和可执行性判断的一部分。</w:t>
      </w:r>
    </w:p>
    <w:p>
      <w:pPr>
        <w:spacing w:line="300" w:lineRule="auto"/>
        <w:ind w:firstLine="420"/>
      </w:pPr>
      <w:r>
        <w:rPr>
          <w:rFonts w:ascii="Times New Roman" w:hAnsi="Times New Roman" w:eastAsia="宋体"/>
          <w:sz w:val="22"/>
        </w:rPr>
        <w:t>这种处理有助于解释消融实验中取消政策投影后的高收益现象。若不考虑制度可行域，模型可能得到更高账面收益，但该收益缺少现实交易约束支撑。对于售电公司经营研究而言，可执行性应与收益性共同进入评价。</w:t>
      </w:r>
    </w:p>
    <w:p>
      <w:pPr>
        <w:pStyle w:val="Heading2"/>
      </w:pPr>
      <w:r>
        <w:rPr>
          <w:rFonts w:ascii="Times New Roman" w:hAnsi="Times New Roman" w:eastAsia="宋体"/>
          <w:sz w:val="28"/>
        </w:rPr>
        <w:t>2.5 风险度量、套期保值与基准策略理论基础</w:t>
      </w:r>
    </w:p>
    <w:p>
      <w:pPr>
        <w:spacing w:line="300" w:lineRule="auto"/>
        <w:ind w:firstLine="420"/>
      </w:pPr>
      <w:r>
        <w:rPr>
          <w:rFonts w:ascii="Times New Roman" w:hAnsi="Times New Roman" w:eastAsia="宋体"/>
          <w:sz w:val="22"/>
        </w:rPr>
        <w:t>本文的风险评价以利润、采购成本、收益波动、CVaR99、套保误差和最大回撤等指标共同构成。其中，CVaR99 用于描述 15 分钟采购成本的尾部高成本风险，套保误差用于描述计划电量与实际需求之间的偏离程度。CVaR 理论来源于一致性风险度量和条件风险价值优化研究[22][24]，在售电公司场景中能够弥补平均收益对极端价格时段反映不足的问题。</w:t>
      </w:r>
    </w:p>
    <w:p>
      <w:pPr>
        <w:spacing w:line="300" w:lineRule="auto"/>
        <w:ind w:firstLine="420"/>
      </w:pPr>
      <w:r>
        <w:rPr>
          <w:rFonts w:ascii="Times New Roman" w:hAnsi="Times New Roman" w:eastAsia="宋体"/>
          <w:sz w:val="22"/>
        </w:rPr>
        <w:t>基准策略是本文评价策略效果的必要参照。本文保留四类基准：动态锁仓强基准、固定持仓策略、无现货修正静态策略和简单滚动对冲策略。动态锁仓强基准在训练奖励中作为强基准族，同时在基准比较中形成单独报告口径。采用强基准会提高结论可信度。若模型只与弱基准比较，可能得到表面收益改善；当强基准、静态规则和简单滚动规则均进入比较时，模型是否真正改进采购策略会更加清楚。</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第三章 售电公司多时间尺度购售电决策模型构建</w:t>
      </w:r>
    </w:p>
    <w:p>
      <w:pPr>
        <w:pStyle w:val="Heading2"/>
      </w:pPr>
      <w:r>
        <w:rPr>
          <w:rFonts w:ascii="Times New Roman" w:hAnsi="Times New Roman" w:eastAsia="宋体"/>
          <w:sz w:val="28"/>
        </w:rPr>
        <w:t>3.1 时间与变量设定</w:t>
      </w:r>
    </w:p>
    <w:p>
      <w:pPr>
        <w:spacing w:line="300" w:lineRule="auto"/>
        <w:ind w:firstLine="420"/>
      </w:pPr>
      <w:r>
        <w:rPr>
          <w:rFonts w:ascii="Times New Roman" w:hAnsi="Times New Roman" w:eastAsia="宋体"/>
          <w:sz w:val="22"/>
        </w:rPr>
        <w:t>本文模型采用周度、小时和 15 分钟三层时间索引。令 \(w\) 表示周度决策期，\(h\in\{1,\ldots,168\}\) 表示周内小时，\(t\) 表示 15 分钟结算点。原始数据以 15 分钟为基础频率，模型内部聚合到小时和周度后再回到 15 分钟结算。</w:t>
      </w:r>
    </w:p>
    <w:p>
      <w:pPr>
        <w:spacing w:line="300" w:lineRule="auto"/>
        <w:ind w:firstLine="420"/>
      </w:pPr>
      <w:r>
        <w:rPr>
          <w:rFonts w:ascii="Times New Roman" w:hAnsi="Times New Roman" w:eastAsia="宋体"/>
          <w:sz w:val="22"/>
        </w:rPr>
        <w:t>周度状态记为：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s_w=[x_w,p_w,f_w,a_{w-1},r_{w-1}]</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其中，\(x_w\) 为市场特征，包括历史日前价格、日内价格、价差、负荷预测偏差、新能源偏差和时段统计量；\(p_w\) 为当前制度状态；\(f_w\) 为四组前瞻制度状态；\(a_{w-1}\) 和 \(r_{w-1}\) 分别表示上一期动作和上一期奖励。这个状态设计体现了市场信息、制度信息和上一期策略反馈的共同作用。</w:t>
      </w:r>
    </w:p>
    <w:p>
      <w:pPr>
        <w:spacing w:line="300" w:lineRule="auto"/>
        <w:ind w:firstLine="420"/>
      </w:pPr>
      <w:r>
        <w:rPr>
          <w:rFonts w:ascii="Times New Roman" w:hAnsi="Times New Roman" w:eastAsia="宋体"/>
          <w:sz w:val="22"/>
        </w:rPr>
        <w:t>上层周度动作定义为：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a_w=(\Delta h_w^{raw}, b_w)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\(\Delta h_w^{raw}\) 是相对强基准底仓的原始残差动作，\(b_w\) 是现货边际风险敞口带宽。下层小时动作 \(u_{w,h}\) 是带符号现货净修正量。正值表示增加现货侧计划电量，负值表示减少现货侧计划电量。交易摩擦按小时级修正量的绝对值计量。</w:t>
      </w:r>
    </w:p>
    <w:p>
      <w:pPr>
        <w:pStyle w:val="Heading2"/>
      </w:pPr>
      <w:r>
        <w:rPr>
          <w:rFonts w:ascii="Times New Roman" w:hAnsi="Times New Roman" w:eastAsia="宋体"/>
          <w:sz w:val="28"/>
        </w:rPr>
        <w:t>3.2 周度中长期持仓</w:t>
      </w:r>
    </w:p>
    <w:p>
      <w:pPr>
        <w:spacing w:line="300" w:lineRule="auto"/>
        <w:ind w:firstLine="420"/>
      </w:pPr>
      <w:r>
        <w:rPr>
          <w:rFonts w:ascii="Times New Roman" w:hAnsi="Times New Roman" w:eastAsia="宋体"/>
          <w:sz w:val="22"/>
        </w:rPr>
        <w:t>周度中长期持仓模型从强基准底仓出发。令 \(\widehat L_w\) 为第 \(w\) 周预测净负荷，\(r_{base}\) 为基准锁定比例。原始残差动作由市场信号和制度信号共同生成：</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\Delta h_w^{raw}=\rho_{\Delta}\tanh(k_x x_w^T\theta_x+k_p p_w^T\theta_p+\theta_0)\widehat L_w</w:t>
      </w:r>
    </w:p>
    <w:p>
      <w:pPr>
        <w:spacing w:line="276" w:lineRule="auto"/>
      </w:pPr>
      <w:r>
        <w:rPr>
          <w:rFonts w:ascii="Times New Roman" w:hAnsi="Times New Roman" w:eastAsia="宋体"/>
          <w:sz w:val="22"/>
        </w:rPr>
        <w:t>\]</w:t>
      </w:r>
    </w:p>
    <w:p>
      <w:pPr>
        <w:spacing w:line="300" w:lineRule="auto"/>
        <w:ind w:firstLine="420"/>
      </w:pPr>
      <w:r>
        <w:t>其中，\(\theta_x\) 是市场特征权重，\(\theta_p\) 是制度状态权重，\(\rho_{\Delta}\) 控制调整尺度，\(\tanh(\cdot)\) 用于限制原始动作幅度。这个公式表示，模型在动态锁仓强基准之上学习残差调整量，再形成最终持仓。</w:t>
      </w:r>
    </w:p>
    <w:p>
      <w:pPr>
        <w:spacing w:line="300" w:lineRule="auto"/>
        <w:ind w:firstLine="420"/>
      </w:pPr>
      <w:r>
        <w:rPr>
          <w:rFonts w:ascii="Times New Roman" w:hAnsi="Times New Roman" w:eastAsia="宋体"/>
          <w:sz w:val="22"/>
        </w:rPr>
        <w:t>原始动作需要经过政策可行域投影：</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\Delta h_w^{exec}=\operatorname{clip}(\Delta h_w^{raw}, r^{min}_w\widehat L_w, r^{max}_w\widehat L_w)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\(r^{min}_w\) 和 \(r^{max}_w\) 来自第 \(w\) 周可行域。最终周度中长期持仓为：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H_w=\max(r_{base}\widehat L_w+\Delta h_w^{exec},0)</w:t>
      </w:r>
    </w:p>
    <w:p>
      <w:pPr>
        <w:spacing w:line="276" w:lineRule="auto"/>
      </w:pPr>
      <w:r>
        <w:rPr>
          <w:rFonts w:ascii="Times New Roman" w:hAnsi="Times New Roman" w:eastAsia="宋体"/>
          <w:sz w:val="22"/>
        </w:rPr>
        <w:t>\]</w:t>
      </w:r>
    </w:p>
    <w:p>
      <w:pPr>
        <w:spacing w:line="300" w:lineRule="auto"/>
        <w:ind w:firstLine="420"/>
      </w:pPr>
      <w:r>
        <w:t>这里的非负约束保证中长期结算头寸不出现负持仓。\(H_w\) 表示售电公司用于结算和风险管理的中长期底仓，在模型中对应批发侧成本锁定头寸。正式验证期内，模型以 60% 的基准锁定比例为起点，在政策投影后形成 48% 的最终锁定比例，说明价格联动、辅助服务收紧和新能源状态共同压缩了周度底仓调整空间。</w:t>
      </w:r>
    </w:p>
    <w:p>
      <w:pPr>
        <w:pStyle w:val="Heading2"/>
      </w:pPr>
      <w:r>
        <w:rPr>
          <w:rFonts w:ascii="Times New Roman" w:hAnsi="Times New Roman" w:eastAsia="宋体"/>
          <w:sz w:val="28"/>
        </w:rPr>
        <w:t>3.3 风险带宽与 24 小时合约曲线</w:t>
      </w:r>
    </w:p>
    <w:p>
      <w:pPr>
        <w:spacing w:line="300" w:lineRule="auto"/>
        <w:ind w:firstLine="420"/>
      </w:pPr>
      <w:r>
        <w:rPr>
          <w:rFonts w:ascii="Times New Roman" w:hAnsi="Times New Roman" w:eastAsia="宋体"/>
          <w:sz w:val="22"/>
        </w:rPr>
        <w:t>风险敞口带宽表示售电公司在第 \(w\) 周允许下层小时级现货修正使用的风险预算。原始带宽可写为：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B_w^{raw}=\operatorname{ReLU}\{r_B\widehat L_w[1+\tanh(k_B g_w+\theta_B)]\}</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\(g_w\) 是由市场特征和制度状态生成的周度综合信号，\(r_B\) 是带宽基准比例。执行带宽经过可行域投影：</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B_w=\operatorname{clip}(B_w^{raw}, b_w^{min}\widehat L_w,b_w^{max}\widehat L_w)</w:t>
      </w:r>
    </w:p>
    <w:p>
      <w:pPr>
        <w:spacing w:line="276" w:lineRule="auto"/>
      </w:pPr>
      <w:r>
        <w:rPr>
          <w:rFonts w:ascii="Times New Roman" w:hAnsi="Times New Roman" w:eastAsia="宋体"/>
          <w:sz w:val="22"/>
        </w:rPr>
        <w:t>\]</w:t>
      </w:r>
    </w:p>
    <w:p>
      <w:pPr>
        <w:spacing w:line="300" w:lineRule="auto"/>
        <w:ind w:firstLine="420"/>
      </w:pPr>
      <w:r>
        <w:t>在辅助服务收紧状态下，小时级现货带宽被压缩；在一般状态下，模型保留更宽的风险预算。这个设计把制度状态直接转化为下层动作约束。</w:t>
      </w:r>
    </w:p>
    <w:p>
      <w:pPr>
        <w:spacing w:line="300" w:lineRule="auto"/>
        <w:ind w:firstLine="420"/>
      </w:pPr>
      <w:r>
        <w:rPr>
          <w:rFonts w:ascii="Times New Roman" w:hAnsi="Times New Roman" w:eastAsia="宋体"/>
          <w:sz w:val="22"/>
        </w:rPr>
        <w:t>周度中长期持仓还需要分解到 24 小时合约曲线。令 \(\phi_h\) 表示第 \(h\) 小时的曲线基函数，\(z_w\) 表示合约曲线隐变量，则：</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\pi_{w,1:24}=\operatorname{softmax}(z_w\Phi),\quad \sum_{h=1}^{24}\pi_{w,h}=1,\quad \pi_{w,h}\ge 0</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周度底仓到小时合约量的映射为：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q_{w,h}^{LT}=H_w\pi_{w,h}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softmax 函数保证 24 小时曲线权重非负且总和为 1，避免合约曲线出现不可解释的负电量或总量偏离。该曲线用于把周度底仓转化为小时结构，为后续 15 分钟代理结算提供基础。</w:t>
      </w:r>
    </w:p>
    <w:p>
      <w:pPr>
        <w:pStyle w:val="Heading2"/>
      </w:pPr>
      <w:r>
        <w:rPr>
          <w:rFonts w:ascii="Times New Roman" w:hAnsi="Times New Roman" w:eastAsia="宋体"/>
          <w:sz w:val="28"/>
        </w:rPr>
        <w:t>3.4 小时级现货修正</w:t>
      </w:r>
    </w:p>
    <w:p>
      <w:pPr>
        <w:spacing w:line="300" w:lineRule="auto"/>
        <w:ind w:firstLine="420"/>
      </w:pPr>
      <w:r>
        <w:rPr>
          <w:rFonts w:ascii="Times New Roman" w:hAnsi="Times New Roman" w:eastAsia="宋体"/>
          <w:sz w:val="22"/>
        </w:rPr>
        <w:t>小时级现货修正用于处理短期边际风险。令 \(spread_{w,h}\) 表示日前与日内或实时代理价格差，\(loaddev_{w,h}\) 表示负荷偏差，\(rendev_{w,h}\) 表示新能源扰动，则小时信号可写为：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m_{w,h}=\beta_s spread_{w,h-1}+\beta_l loaddev_{w,h-1}+\beta_r rendev_{w,h-1}+\beta_a |spread_{w,h-1}|S_h+\beta_b|rendev_{w,h-1}|S_h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\(S_h\) 表示时段权重，区分峰段、谷段和一般时段；\(\beta_s\)、\(\beta_l\)、\(\beta_r\)、\(\beta_a\)、\(\beta_b\) 为响应系数。这个公式说明，小时级修正同时考虑价格信号、负荷偏差、新能源扰动和时段结构。</w:t>
      </w:r>
    </w:p>
    <w:p>
      <w:pPr>
        <w:spacing w:line="300" w:lineRule="auto"/>
        <w:ind w:firstLine="420"/>
      </w:pPr>
      <w:r>
        <w:rPr>
          <w:rFonts w:ascii="Times New Roman" w:hAnsi="Times New Roman" w:eastAsia="宋体"/>
          <w:sz w:val="22"/>
        </w:rPr>
        <w:t>为了避免小信号频繁交易，模型设置门控函数：</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gate_{w,h}=\sigma\left(\frac{|m_{w,h}|-d}{\tau}\right)</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\(d\) 是信号死区，\(\tau\) 是温度参数。门控后的原始修正量为：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u_{w,h}^{raw}=gate_{w,h}\tanh(m_{w,h})\frac{B_w}{N_h}(l_{base}+l_{shrink}\cdot shrink_{w,h})</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\(N_h\) 为周内有效小时数，\(l_{base}\) 和 \(l_{shrink}\) 为小时限制参数，\(shrink_{w,h}\) 表示制度收缩状态。随后执行小时级投影：</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u_{w,h}=Proj_{hour}(u_{w,h}^{raw};B_w,share_{w,h},ramp_{w,h})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并满足：</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|u_{w,h}|\le \frac{B_w}{N_h}share_{w,h}</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|u_{w,h}-u_{w,h-1}|\le \frac{B_w}{N_h}share_{w,h}ramp_{w,h}</w:t>
      </w:r>
    </w:p>
    <w:p>
      <w:pPr>
        <w:spacing w:line="276" w:lineRule="auto"/>
      </w:pPr>
      <w:r>
        <w:rPr>
          <w:rFonts w:ascii="Times New Roman" w:hAnsi="Times New Roman" w:eastAsia="宋体"/>
          <w:sz w:val="22"/>
        </w:rPr>
        <w:t>\]</w:t>
      </w:r>
    </w:p>
    <w:p>
      <w:pPr>
        <w:spacing w:line="300" w:lineRule="auto"/>
        <w:ind w:firstLine="420"/>
      </w:pPr>
      <w:r>
        <w:t>上述约束分别体现总带宽、小时份额上限和平滑约束。该部分的经济含义是，在既定中长期持仓基础上，售电公司围绕边际现货敞口进行有限修正，小时级规则保持在制度约束下执行。</w:t>
      </w:r>
    </w:p>
    <w:p>
      <w:pPr>
        <w:pStyle w:val="Heading2"/>
      </w:pPr>
      <w:r>
        <w:rPr>
          <w:rFonts w:ascii="Times New Roman" w:hAnsi="Times New Roman" w:eastAsia="宋体"/>
          <w:sz w:val="28"/>
        </w:rPr>
        <w:t>3.5 15 分钟结算</w:t>
      </w:r>
    </w:p>
    <w:p>
      <w:pPr>
        <w:spacing w:line="300" w:lineRule="auto"/>
        <w:ind w:firstLine="420"/>
      </w:pPr>
      <w:r>
        <w:rPr>
          <w:rFonts w:ascii="Times New Roman" w:hAnsi="Times New Roman" w:eastAsia="宋体"/>
          <w:sz w:val="22"/>
        </w:rPr>
        <w:t>15 分钟代理结算层把周度和小时级决策还原到市场结算粒度。令 \(q_{w,t}^{LT}\) 为从小时中长期曲线均分到 15 分钟点的合约电量，\(u_{w,t}\) 为小时级现货修正均分到对应 15 分钟点的净修正量，则计划电量为：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q_{w,t}^{sch}=\max(q_{w,t}^{LT}+u_{w,t},0)</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实际需求为：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q_{w,t}^{real}=\max(L_{w,t}^{real},0)</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非负约束确保售电公司采购侧不形成负计划电量。若小时级现货修正未被触发，则计划电量主要由中长期曲线和负荷偏差共同决定。</w:t>
      </w:r>
    </w:p>
    <w:p>
      <w:pPr>
        <w:pStyle w:val="Heading2"/>
      </w:pPr>
      <w:r>
        <w:rPr>
          <w:rFonts w:ascii="Times New Roman" w:hAnsi="Times New Roman" w:eastAsia="宋体"/>
          <w:sz w:val="28"/>
        </w:rPr>
        <w:t>3.6 成本与收益</w:t>
      </w:r>
    </w:p>
    <w:p>
      <w:pPr>
        <w:spacing w:line="300" w:lineRule="auto"/>
        <w:ind w:firstLine="420"/>
      </w:pPr>
      <w:r>
        <w:rPr>
          <w:rFonts w:ascii="Times New Roman" w:hAnsi="Times New Roman" w:eastAsia="宋体"/>
          <w:sz w:val="22"/>
        </w:rPr>
        <w:t>本文将中长期价格、日前价格和日内或实时代理价格共同纳入成本计算。令 \(p_w^{LT}\) 为第 \(w\) 周中长期有效价格，\(p_{w,t}^{DA}\) 为日前价格，\(p_{w,t}^{ID}\) 为日内或实时代理价格，\(\omega_{LT}\) 和 \(\omega_{DA}\) 为结算权重，则 15 分钟采购成本为：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C_{w,t}=q_{w,t}^{sch}(\omega_{LT}p_w^{LT}+\omega_{DA}p_{w,t}^{DA})+|q_{w,t}^{real}-q_{w,t}^{sch}|p_{w,t}^{ID}\eta</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\(\eta\) 为偏差惩罚系数。2026 年 2 月以后，中长期有效价格体现年度中长期合同固定价格与灵活价格的联动口径。周采购成本为：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C_w=\sum_t C_{w,t}</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零售收入为：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R_w=\sum_t q_{w,t}^{real}p^{retail}</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\(p^{retail}\) 是外生零售电价。周利润为：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P_w=R_w-C_w-c_{adj}|\Delta h_w^{raw}-\Delta h_w^{exec}|-c_{fric}\sum_h|u_{w,h}|</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\(c_{adj}\) 是合约调整投影相关成本，\(c_{fric}\) 是现货交易摩擦成本。由于正式实验中小时级现货净修正均为零，现货交易摩擦没有形成实际交易成本，这也是后文解释小时级机制未激活的重要依据。</w:t>
      </w:r>
    </w:p>
    <w:p>
      <w:pPr>
        <w:pStyle w:val="Heading2"/>
      </w:pPr>
      <w:r>
        <w:rPr>
          <w:rFonts w:ascii="Times New Roman" w:hAnsi="Times New Roman" w:eastAsia="宋体"/>
          <w:sz w:val="28"/>
        </w:rPr>
        <w:t>3.7 CVaR 与对冲误差</w:t>
      </w:r>
    </w:p>
    <w:p>
      <w:pPr>
        <w:spacing w:line="300" w:lineRule="auto"/>
        <w:ind w:firstLine="420"/>
      </w:pPr>
      <w:r>
        <w:rPr>
          <w:rFonts w:ascii="Times New Roman" w:hAnsi="Times New Roman" w:eastAsia="宋体"/>
          <w:sz w:val="22"/>
        </w:rPr>
        <w:t>本文使用 CVaR99 表示 15 分钟采购成本的尾部风险。令 \(VaR_{\alpha,w}\) 为第 \(w\) 周 15 分钟成本的 \(\alpha\) 分位阈值，则：</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CVaR_{\alpha,w}=E[C_{w,t}\mid C_{w,t}\ge VaR_{\alpha,w}]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本文取 \(\alpha=0.99\)，关注最不利 1% 成本时段的平均成本。套保误差定义为计划电量与实际需求之间的相对偏差：</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E_w=\frac{|\sum_t q_{w,t}^{real}-\sum_t q_{w,t}^{sch}|}{\max(\sum_t q_{w,t}^{real},1)}</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该指标衡量中长期底仓、现货修正和实际负荷之间的匹配程度。利润较高但套保误差过大，说明策略可能依赖价格机会而牺牲需求覆盖稳定性；利润较低但套保误差改善，也可能说明策略在风险控制上具有一定价值。因此，第五章评价时将采购成本、利润、CVaR99 和套保误差共同报告。</w:t>
      </w:r>
    </w:p>
    <w:p>
      <w:pPr>
        <w:pStyle w:val="Heading2"/>
      </w:pPr>
      <w:r>
        <w:rPr>
          <w:rFonts w:ascii="Times New Roman" w:hAnsi="Times New Roman" w:eastAsia="宋体"/>
          <w:sz w:val="28"/>
        </w:rPr>
        <w:t>3.8 奖励函数</w:t>
      </w:r>
    </w:p>
    <w:p>
      <w:pPr>
        <w:spacing w:line="300" w:lineRule="auto"/>
        <w:ind w:firstLine="420"/>
      </w:pPr>
      <w:r>
        <w:rPr>
          <w:rFonts w:ascii="Times New Roman" w:hAnsi="Times New Roman" w:eastAsia="宋体"/>
          <w:sz w:val="22"/>
        </w:rPr>
        <w:t>模型训练目标围绕相对强基准的超额收益展开。强基准利润记为：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P_w^{base}=R_w-\min_{b\in\mathcal B}C_w^{base}(b)</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\(\mathcal B\) 表示候选动态锁仓比例集合。超额收益为：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X_w=P_w-P_w^{base}</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违规惩罚记为：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V_w=\lambda_{proj}(|\Delta h_w^{raw}-\Delta h_w^{exec}|+|B_w^{raw}-B_w|+\sum_h|u_{w,h}^{raw}-u_{w,h}|)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周奖励函数为：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r_w=X_w-\lambda_{tail}CVaR_{0.99,w}-\lambda_{hedge}E_w-\lambda_{trade}F_w-\lambda_{violate}V_w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其中，\(F_w=\sum_h|u_{w,h}|\) 表示现货修正的绝对交易量，\(\lambda_{tail}\)、\(\lambda_{hedge}\)、\(\lambda_{trade}\)、\(\lambda_{violate}\) 分别为尾部风险、套保误差、交易摩擦和制度投影惩罚权重。粒子群优化目标为：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J(\theta_u,\theta_l)=-\sum_w r_w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该奖励结构体现本文的评价口径：策略需要尝试相对强基准节约成本，同时控制尾部高成本、对冲误差、交易摩擦和政策可执行性。</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第四章 模型求解与实验设计</w:t>
      </w:r>
    </w:p>
    <w:p>
      <w:pPr>
        <w:pStyle w:val="Heading2"/>
      </w:pPr>
      <w:r>
        <w:rPr>
          <w:rFonts w:ascii="Times New Roman" w:hAnsi="Times New Roman" w:eastAsia="宋体"/>
          <w:sz w:val="28"/>
        </w:rPr>
        <w:t>4.1 数据来源、样本处理与特征构造</w:t>
      </w:r>
    </w:p>
    <w:p>
      <w:pPr>
        <w:spacing w:line="300" w:lineRule="auto"/>
        <w:ind w:firstLine="420"/>
      </w:pPr>
      <w:r>
        <w:rPr>
          <w:rFonts w:ascii="Times New Roman" w:hAnsi="Times New Roman" w:eastAsia="宋体"/>
          <w:sz w:val="22"/>
        </w:rPr>
        <w:t>本文实验数据覆盖 2025 年 11 月 1 日至 2026 年 3 月 20 日，基础时间间隔为 15 分钟。为保证滚动特征和周度聚合的完整性，数据处理时保留短期缓冲区间，但正式结果只在研究期内解释。样本划分遵循时间顺序：训练集覆盖 2025 年 11 月上旬至 2026 年 1 月下旬，验证集覆盖 2026 年 2 月的四个周度样本，测试集覆盖 2026 年 3 月上中旬样本。该划分避免将后期价格和制度信息提前用于前期训练。</w:t>
      </w:r>
    </w:p>
    <w:p>
      <w:pPr>
        <w:spacing w:line="300" w:lineRule="auto"/>
        <w:ind w:firstLine="420"/>
      </w:pPr>
      <w:r>
        <w:rPr>
          <w:rFonts w:ascii="Times New Roman" w:hAnsi="Times New Roman" w:eastAsia="宋体"/>
          <w:sz w:val="22"/>
        </w:rPr>
        <w:t>数据处理包括四个步骤。第一，对 15 分钟序列进行时间对齐、重复值处理和缺失值检查。第二，将 15 分钟数据聚合为小时特征和周度特征。第三，构造日前价格、日内或实时代理价格、价差、负荷预测偏差、新能源偏差、时段价差、水电及非市场电量等市场变量。第四，将政策规则转化为当前制度状态和四组前瞻制度状态，使市场状态和制度状态同时进入策略优化。</w:t>
      </w:r>
    </w:p>
    <w:p>
      <w:pPr>
        <w:spacing w:line="300" w:lineRule="auto"/>
        <w:ind w:firstLine="420"/>
      </w:pPr>
      <w:r>
        <w:rPr>
          <w:rFonts w:ascii="Times New Roman" w:hAnsi="Times New Roman" w:eastAsia="宋体"/>
          <w:sz w:val="22"/>
        </w:rPr>
        <w:t>周度层特征用于决定中长期底仓和风险带宽，小时层特征用于决定现货边际修正方向，15 分钟层数据用于计算采购成本、收益、尾部风险和套保误差。这样的设计保证了模型的时间尺度与湖南电力市场交易和结算机制相匹配。</w:t>
      </w:r>
    </w:p>
    <w:p>
      <w:pPr>
        <w:pStyle w:val="Heading2"/>
      </w:pPr>
      <w:r>
        <w:rPr>
          <w:rFonts w:ascii="Times New Roman" w:hAnsi="Times New Roman" w:eastAsia="宋体"/>
          <w:sz w:val="28"/>
        </w:rPr>
        <w:t>4.2 政策规则整理与可行域生成流程</w:t>
      </w:r>
    </w:p>
    <w:p>
      <w:pPr>
        <w:spacing w:line="300" w:lineRule="auto"/>
        <w:ind w:firstLine="420"/>
      </w:pPr>
      <w:r>
        <w:rPr>
          <w:rFonts w:ascii="Times New Roman" w:hAnsi="Times New Roman" w:eastAsia="宋体"/>
          <w:sz w:val="22"/>
        </w:rPr>
        <w:t>政策规则整理以研究期内湖南电力市场相关制度文件为基础。本文先按照政策名称、发布时间、生效时间、适用范围和规则类型进行结构化整理，再将政策状态映射到每个周度样本。整理结果包括 18 个政策来源文件和 36 条结构化规则，未出现政策解析失败记录。</w:t>
      </w:r>
    </w:p>
    <w:p>
      <w:pPr>
        <w:spacing w:line="300" w:lineRule="auto"/>
        <w:ind w:firstLine="420"/>
      </w:pPr>
      <w:r>
        <w:t>可行域生成的核心是把制度状态映射到动作约束。周度层约束包括非负持仓、合约调整比例上限以及价格联动后的更紧调整上限；小时层约束包括现货带宽下限、带宽上限、辅助服务收紧时的带宽上限、小时份额上限和爬坡上限。2026 年 2 月以后，新能源机制电价、中长期价格联动和辅助服务耦合状态共同影响可行域，因此策略空间明显收缩。</w:t>
      </w:r>
    </w:p>
    <w:p>
      <w:pPr>
        <w:spacing w:line="300" w:lineRule="auto"/>
        <w:ind w:firstLine="420"/>
      </w:pPr>
      <w:r>
        <w:rPr>
          <w:rFonts w:ascii="Times New Roman" w:hAnsi="Times New Roman" w:eastAsia="宋体"/>
          <w:sz w:val="22"/>
        </w:rPr>
        <w:t>本文特别区分政策发布时间和生效时间。新能源机制电价状态自 2026 年 1 月 1 日进入模型；年度中长期价格联动机制按 2026 年 2 月 1 日作为月度代理时点进入结算口径。对于 2025 年 11 月至 2026 年 1 月的样本，后期规则不提前使用。</w:t>
      </w:r>
    </w:p>
    <w:p>
      <w:pPr>
        <w:pStyle w:val="Heading2"/>
      </w:pPr>
      <w:r>
        <w:rPr>
          <w:rFonts w:ascii="Times New Roman" w:hAnsi="Times New Roman" w:eastAsia="宋体"/>
          <w:sz w:val="28"/>
        </w:rPr>
        <w:t>4.3 参数化策略与经济含义</w:t>
      </w:r>
    </w:p>
    <w:p>
      <w:pPr>
        <w:spacing w:line="300" w:lineRule="auto"/>
        <w:ind w:firstLine="420"/>
      </w:pPr>
      <w:r>
        <w:t>本文将采购策略参数分为周度持仓和小时修正两组。周度持仓参数用于回答“锁定多少中长期底仓、为现货波动预留多少风险预算”的问题；小时修正参数用于回答“在价差、负荷偏差和新能源扰动出现时，是否需要对边际现货敞口作出调整”的问题。这种参数化方式直接服务于经济决策解释，突出合同锁定、风险预算和边际敞口响应之间的关系。</w:t>
      </w:r>
    </w:p>
    <w:p>
      <w:pPr>
        <w:spacing w:line="300" w:lineRule="auto"/>
        <w:ind w:firstLine="420"/>
      </w:pPr>
      <w:r>
        <w:rPr>
          <w:rFonts w:ascii="Times New Roman" w:hAnsi="Times New Roman" w:eastAsia="宋体"/>
          <w:sz w:val="22"/>
        </w:rPr>
        <w:t>周度层的经济含义是风险预算配置。较高底仓能够提高价格锁定程度，但也可能在现货价格较低或负荷偏差较大时形成成本压力；较低底仓能够保留现货灵活性，却会增加价格波动暴露。小时层的经济含义是边际风险对冲。现货修正只有在信号足够强、交易摩擦可以覆盖、制度可行域允许的情况下才应执行。</w:t>
      </w:r>
    </w:p>
    <w:p>
      <w:pPr>
        <w:spacing w:line="300" w:lineRule="auto"/>
        <w:ind w:firstLine="420"/>
      </w:pPr>
      <w:r>
        <w:rPr>
          <w:rFonts w:ascii="Times New Roman" w:hAnsi="Times New Roman" w:eastAsia="宋体"/>
          <w:sz w:val="22"/>
        </w:rPr>
        <w:t>为保证不同实验口径之间可比较，训练、验证和回测使用同一套结算逻辑和同一组风险指标。由此得到的结果可以直接用于比较主策略、强基准、静态规则和消融情景之间的收益风险差异。</w:t>
      </w:r>
    </w:p>
    <w:p>
      <w:pPr>
        <w:pStyle w:val="Heading2"/>
      </w:pPr>
      <w:r>
        <w:rPr>
          <w:rFonts w:ascii="Times New Roman" w:hAnsi="Times New Roman" w:eastAsia="宋体"/>
          <w:sz w:val="28"/>
        </w:rPr>
        <w:t>4.4 随机粒子群策略生成方法</w:t>
      </w:r>
    </w:p>
    <w:p>
      <w:pPr>
        <w:spacing w:line="300" w:lineRule="auto"/>
        <w:ind w:firstLine="420"/>
      </w:pPr>
      <w:r>
        <w:rPr>
          <w:rFonts w:ascii="Times New Roman" w:hAnsi="Times New Roman" w:eastAsia="宋体"/>
          <w:sz w:val="22"/>
        </w:rPr>
        <w:t>本文采用随机粒子群搜索生成策略。每一个粒子代表一组候选采购策略，包括周度底仓调整、风险带宽、24 小时合约曲线和小时级现货响应。粒子在搜索过程中不断根据自身历史表现和群体较优表现调整位置，最终选择在训练样本中综合收益、风险和政策可行性较好的策略。</w:t>
      </w:r>
    </w:p>
    <w:p>
      <w:pPr>
        <w:spacing w:line="300" w:lineRule="auto"/>
        <w:ind w:firstLine="420"/>
      </w:pPr>
      <w:r>
        <w:t>随机粒子群搜索在本文中承担策略构造功能：在给定市场状态、制度状态和结算口径下，从大量可行参数组合中筛选表现较好的采购方案。评价重点放在三类经济问题上：策略是否降低采购成本或改善收益，是否增加尾部风险和套保误差，以及是否符合研究期内湖南电力市场的制度可行域。</w:t>
      </w:r>
    </w:p>
    <w:p>
      <w:pPr>
        <w:spacing w:line="300" w:lineRule="auto"/>
        <w:ind w:firstLine="420"/>
      </w:pPr>
      <w:r>
        <w:rPr>
          <w:rFonts w:ascii="Times New Roman" w:hAnsi="Times New Roman" w:eastAsia="宋体"/>
          <w:sz w:val="22"/>
        </w:rPr>
        <w:t>在目标函数上，候选策略首先与动态锁仓强基准比较超额收益，再扣除尾部风险、套保误差、交易摩擦和政策投影惩罚。这样设计可以避免只按利润选择策略，也能反映售电公司经营中“收益、风险、制度合规”同时存在的约束。</w:t>
      </w:r>
    </w:p>
    <w:p>
      <w:pPr>
        <w:pStyle w:val="Heading2"/>
      </w:pPr>
      <w:r>
        <w:rPr>
          <w:rFonts w:ascii="Times New Roman" w:hAnsi="Times New Roman" w:eastAsia="宋体"/>
          <w:sz w:val="28"/>
        </w:rPr>
        <w:t>4.5 验证集、滚动回测与基准比较设计</w:t>
      </w:r>
    </w:p>
    <w:p>
      <w:pPr>
        <w:spacing w:line="300" w:lineRule="auto"/>
        <w:ind w:firstLine="420"/>
      </w:pPr>
      <w:r>
        <w:rPr>
          <w:rFonts w:ascii="Times New Roman" w:hAnsi="Times New Roman" w:eastAsia="宋体"/>
          <w:sz w:val="22"/>
        </w:rPr>
        <w:t>验证集用于检验最优策略在固定政策阶段下的表现。本文的正式验证集覆盖 2026 年 2 月 2 日至 2026 年 2 月 23 日四个周度样本，正好处在新能源机制电价已执行、年度中长期价格联动已进入代理结算口径的阶段，因此能够观察政策可行域对策略空间的影响。</w:t>
      </w:r>
    </w:p>
    <w:p>
      <w:pPr>
        <w:spacing w:line="300" w:lineRule="auto"/>
        <w:ind w:firstLine="420"/>
      </w:pPr>
      <w:r>
        <w:rPr>
          <w:rFonts w:ascii="Times New Roman" w:hAnsi="Times New Roman" w:eastAsia="宋体"/>
          <w:sz w:val="22"/>
        </w:rPr>
        <w:t>滚动回测采用扩展窗口方式，每个窗口先用历史样本重新训练，再在下一周进行测试。滚动测试共 10 个单周窗口，覆盖 2026 年 1 月 12 日至 2026 年 3 月 16 日。由于每个窗口只有一个测试周，本文对单周正超额收益保持谨慎解释，不将其直接等同于稳定跑赢强基准。</w:t>
      </w:r>
    </w:p>
    <w:p>
      <w:pPr>
        <w:spacing w:line="300" w:lineRule="auto"/>
        <w:ind w:firstLine="420"/>
      </w:pPr>
      <w:r>
        <w:rPr>
          <w:rFonts w:ascii="Times New Roman" w:hAnsi="Times New Roman" w:eastAsia="宋体"/>
          <w:sz w:val="22"/>
        </w:rPr>
        <w:t>基准比较包括四类策略。第一，动态锁仓强基准，用于衡量主策略是否能在已有强规则基础上进一步改进。第二，固定六成持仓基准，用于代表传统固定比例锁仓思路。第三，静态无现货修正基准，用于检验小时级现货修正是否带来额外收益。第四，简单滚动对冲基准，用于比较主策略与透明规则之间的差异。消融实验进一步考察参数布局、政策投影和状态增强对结果的影响；稳健性检验围绕合约比例偏移、预测误差缩放和政策截断日开展情景重算。</w:t>
      </w:r>
    </w:p>
    <w:p>
      <w:pPr>
        <w:pStyle w:val="Heading2"/>
      </w:pPr>
      <w:r>
        <w:rPr>
          <w:rFonts w:ascii="Times New Roman" w:hAnsi="Times New Roman" w:eastAsia="宋体"/>
          <w:sz w:val="28"/>
        </w:rPr>
        <w:t>4.6 实验运行与结果复核口径</w:t>
      </w:r>
    </w:p>
    <w:p>
      <w:pPr>
        <w:spacing w:line="300" w:lineRule="auto"/>
        <w:ind w:firstLine="420"/>
      </w:pPr>
      <w:r>
        <w:rPr>
          <w:rFonts w:ascii="Times New Roman" w:hAnsi="Times New Roman" w:eastAsia="宋体"/>
          <w:sz w:val="22"/>
        </w:rPr>
        <w:t>本文实验结果以正式全流程运行为依据。全流程包括数据处理、政策规则结构化、可行域生成、模型训练、验证集评价、滚动回测、基准比较、消融实验和稳健性检验。正式运行完成后，还进行了远程环境下的全流程复核和测试复核，两个环节均返回成功。</w:t>
      </w:r>
    </w:p>
    <w:p>
      <w:pPr>
        <w:spacing w:line="300" w:lineRule="auto"/>
        <w:ind w:firstLine="420"/>
      </w:pPr>
      <w:r>
        <w:rPr>
          <w:rFonts w:ascii="Times New Roman" w:hAnsi="Times New Roman" w:eastAsia="宋体"/>
          <w:sz w:val="22"/>
        </w:rPr>
        <w:t>为保证论文结果可复核，本文第五章只使用正式全流程产生的结果，不采用中期材料或历史口径旧指标。正文按照“实验设计、指标含义、结果表格、经济解释”的方式展开分析。</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第五章 实证结果与分析</w:t>
      </w:r>
    </w:p>
    <w:p>
      <w:pPr>
        <w:pStyle w:val="Heading2"/>
      </w:pPr>
      <w:r>
        <w:rPr>
          <w:rFonts w:ascii="Times New Roman" w:hAnsi="Times New Roman" w:eastAsia="宋体"/>
          <w:sz w:val="28"/>
        </w:rPr>
        <w:t>5.1 实验参数与整体运行结果</w:t>
      </w:r>
    </w:p>
    <w:p>
      <w:pPr>
        <w:spacing w:line="300" w:lineRule="auto"/>
        <w:ind w:firstLine="420"/>
      </w:pPr>
      <w:r>
        <w:rPr>
          <w:rFonts w:ascii="Times New Roman" w:hAnsi="Times New Roman" w:eastAsia="宋体"/>
          <w:sz w:val="22"/>
        </w:rPr>
        <w:t>正式实验采用随机粒子群搜索生成采购策略。政策材料经结构化整理后形成 18 个来源文件、36 条结构化规则，未出现解析失败。滚动测试窗口数为 10 个，正式远程复核和测试复核均通过。</w:t>
      </w:r>
    </w:p>
    <w:tbl>
      <w:tblPr>
        <w:tblStyle w:val="TableGrid"/>
        <w:tblW w:type="auto" w:w="0"/>
        <w:tblLayout w:type="autofit"/>
        <w:tblLook w:firstColumn="1" w:firstRow="1" w:lastColumn="0" w:lastRow="0" w:noHBand="0" w:noVBand="1" w:val="04A0"/>
      </w:tblPr>
      <w:tblGrid>
        <w:gridCol w:w="4422"/>
        <w:gridCol w:w="4422"/>
      </w:tblGrid>
      <w:tr>
        <w:tc>
          <w:tcPr>
            <w:tcW w:type="dxa" w:w="4422"/>
          </w:tcPr>
          <w:p>
            <w:pPr>
              <w:spacing w:line="240" w:lineRule="auto"/>
            </w:pPr>
            <w:r>
              <w:rPr>
                <w:rFonts w:ascii="Times New Roman" w:hAnsi="Times New Roman" w:eastAsia="宋体"/>
                <w:sz w:val="18"/>
              </w:rPr>
              <w:t>指标</w:t>
            </w:r>
          </w:p>
        </w:tc>
        <w:tc>
          <w:tcPr>
            <w:tcW w:type="dxa" w:w="4422"/>
          </w:tcPr>
          <w:p>
            <w:pPr>
              <w:spacing w:line="240" w:lineRule="auto"/>
            </w:pPr>
            <w:r>
              <w:rPr>
                <w:rFonts w:ascii="Times New Roman" w:hAnsi="Times New Roman" w:eastAsia="宋体"/>
                <w:sz w:val="18"/>
              </w:rPr>
              <w:t>数值</w:t>
            </w:r>
          </w:p>
        </w:tc>
      </w:tr>
      <w:tr>
        <w:tc>
          <w:tcPr>
            <w:tcW w:type="dxa" w:w="4422"/>
          </w:tcPr>
          <w:p>
            <w:pPr>
              <w:spacing w:line="240" w:lineRule="auto"/>
            </w:pPr>
            <w:r>
              <w:rPr>
                <w:rFonts w:ascii="Times New Roman" w:hAnsi="Times New Roman" w:eastAsia="宋体"/>
                <w:sz w:val="18"/>
              </w:rPr>
              <w:t>政策来源文件数</w:t>
            </w:r>
          </w:p>
        </w:tc>
        <w:tc>
          <w:tcPr>
            <w:tcW w:type="dxa" w:w="4422"/>
          </w:tcPr>
          <w:p>
            <w:pPr>
              <w:spacing w:line="240" w:lineRule="auto"/>
            </w:pPr>
            <w:r>
              <w:rPr>
                <w:rFonts w:ascii="Times New Roman" w:hAnsi="Times New Roman" w:eastAsia="宋体"/>
                <w:sz w:val="18"/>
              </w:rPr>
              <w:t>18</w:t>
            </w:r>
          </w:p>
        </w:tc>
      </w:tr>
      <w:tr>
        <w:tc>
          <w:tcPr>
            <w:tcW w:type="dxa" w:w="4422"/>
          </w:tcPr>
          <w:p>
            <w:pPr>
              <w:spacing w:line="240" w:lineRule="auto"/>
            </w:pPr>
            <w:r>
              <w:rPr>
                <w:rFonts w:ascii="Times New Roman" w:hAnsi="Times New Roman" w:eastAsia="宋体"/>
                <w:sz w:val="18"/>
              </w:rPr>
              <w:t>结构化规则数</w:t>
            </w:r>
          </w:p>
        </w:tc>
        <w:tc>
          <w:tcPr>
            <w:tcW w:type="dxa" w:w="4422"/>
          </w:tcPr>
          <w:p>
            <w:pPr>
              <w:spacing w:line="240" w:lineRule="auto"/>
            </w:pPr>
            <w:r>
              <w:rPr>
                <w:rFonts w:ascii="Times New Roman" w:hAnsi="Times New Roman" w:eastAsia="宋体"/>
                <w:sz w:val="18"/>
              </w:rPr>
              <w:t>36</w:t>
            </w:r>
          </w:p>
        </w:tc>
      </w:tr>
      <w:tr>
        <w:tc>
          <w:tcPr>
            <w:tcW w:type="dxa" w:w="4422"/>
          </w:tcPr>
          <w:p>
            <w:pPr>
              <w:spacing w:line="240" w:lineRule="auto"/>
            </w:pPr>
            <w:r>
              <w:rPr>
                <w:rFonts w:ascii="Times New Roman" w:hAnsi="Times New Roman" w:eastAsia="宋体"/>
                <w:sz w:val="18"/>
              </w:rPr>
              <w:t>政策解析失败数</w:t>
            </w:r>
          </w:p>
        </w:tc>
        <w:tc>
          <w:tcPr>
            <w:tcW w:type="dxa" w:w="4422"/>
          </w:tcPr>
          <w:p>
            <w:pPr>
              <w:spacing w:line="240" w:lineRule="auto"/>
            </w:pPr>
            <w:r>
              <w:rPr>
                <w:rFonts w:ascii="Times New Roman" w:hAnsi="Times New Roman" w:eastAsia="宋体"/>
                <w:sz w:val="18"/>
              </w:rPr>
              <w:t>0</w:t>
            </w:r>
          </w:p>
        </w:tc>
      </w:tr>
      <w:tr>
        <w:tc>
          <w:tcPr>
            <w:tcW w:type="dxa" w:w="4422"/>
          </w:tcPr>
          <w:p>
            <w:pPr>
              <w:spacing w:line="240" w:lineRule="auto"/>
            </w:pPr>
            <w:r>
              <w:rPr>
                <w:rFonts w:ascii="Times New Roman" w:hAnsi="Times New Roman" w:eastAsia="宋体"/>
                <w:sz w:val="18"/>
              </w:rPr>
              <w:t>滚动测试窗口数</w:t>
            </w:r>
          </w:p>
        </w:tc>
        <w:tc>
          <w:tcPr>
            <w:tcW w:type="dxa" w:w="4422"/>
          </w:tcPr>
          <w:p>
            <w:pPr>
              <w:spacing w:line="240" w:lineRule="auto"/>
            </w:pPr>
            <w:r>
              <w:rPr>
                <w:rFonts w:ascii="Times New Roman" w:hAnsi="Times New Roman" w:eastAsia="宋体"/>
                <w:sz w:val="18"/>
              </w:rPr>
              <w:t>10</w:t>
            </w:r>
          </w:p>
        </w:tc>
      </w:tr>
      <w:tr>
        <w:tc>
          <w:tcPr>
            <w:tcW w:type="dxa" w:w="4422"/>
          </w:tcPr>
          <w:p>
            <w:pPr>
              <w:spacing w:line="240" w:lineRule="auto"/>
            </w:pPr>
            <w:r>
              <w:rPr>
                <w:rFonts w:ascii="Times New Roman" w:hAnsi="Times New Roman" w:eastAsia="宋体"/>
                <w:sz w:val="18"/>
              </w:rPr>
              <w:t>全流程复核结果</w:t>
            </w:r>
          </w:p>
        </w:tc>
        <w:tc>
          <w:tcPr>
            <w:tcW w:type="dxa" w:w="4422"/>
          </w:tcPr>
          <w:p>
            <w:pPr>
              <w:spacing w:line="240" w:lineRule="auto"/>
            </w:pPr>
            <w:r>
              <w:rPr>
                <w:rFonts w:ascii="Times New Roman" w:hAnsi="Times New Roman" w:eastAsia="宋体"/>
                <w:sz w:val="18"/>
              </w:rPr>
              <w:t>通过</w:t>
            </w:r>
          </w:p>
        </w:tc>
      </w:tr>
      <w:tr>
        <w:tc>
          <w:tcPr>
            <w:tcW w:type="dxa" w:w="4422"/>
          </w:tcPr>
          <w:p>
            <w:pPr>
              <w:spacing w:line="240" w:lineRule="auto"/>
            </w:pPr>
            <w:r>
              <w:rPr>
                <w:rFonts w:ascii="Times New Roman" w:hAnsi="Times New Roman" w:eastAsia="宋体"/>
                <w:sz w:val="18"/>
              </w:rPr>
              <w:t>测试复核结果</w:t>
            </w:r>
          </w:p>
        </w:tc>
        <w:tc>
          <w:tcPr>
            <w:tcW w:type="dxa" w:w="4422"/>
          </w:tcPr>
          <w:p>
            <w:pPr>
              <w:spacing w:line="240" w:lineRule="auto"/>
            </w:pPr>
            <w:r>
              <w:rPr>
                <w:rFonts w:ascii="Times New Roman" w:hAnsi="Times New Roman" w:eastAsia="宋体"/>
                <w:sz w:val="18"/>
              </w:rPr>
              <w:t>通过</w:t>
            </w:r>
          </w:p>
        </w:tc>
      </w:tr>
    </w:tbl>
    <w:p>
      <w:pPr>
        <w:spacing w:line="300" w:lineRule="auto"/>
        <w:ind w:firstLine="420"/>
      </w:pPr>
      <w:r>
        <w:rPr>
          <w:rFonts w:ascii="Times New Roman" w:hAnsi="Times New Roman" w:eastAsia="宋体"/>
          <w:sz w:val="22"/>
        </w:rPr>
        <w:t>整体看，正式实验形成了从政策解析、可行域投影、策略生成、验证集评价、滚动回测、基准比较、消融实验和稳健性检验的完整分析链条。第五章据此集中解释正式结果在收益、风险、强基准和制度约束方面反映出的策略特征。</w:t>
      </w:r>
    </w:p>
    <w:p>
      <w:pPr>
        <w:pStyle w:val="Heading2"/>
      </w:pPr>
      <w:r>
        <w:rPr>
          <w:rFonts w:ascii="Times New Roman" w:hAnsi="Times New Roman" w:eastAsia="宋体"/>
          <w:sz w:val="28"/>
        </w:rPr>
        <w:t>5.2 验证集策略表现分析</w:t>
      </w:r>
    </w:p>
    <w:p>
      <w:pPr>
        <w:spacing w:line="300" w:lineRule="auto"/>
        <w:ind w:firstLine="420"/>
      </w:pPr>
      <w:r>
        <w:rPr>
          <w:rFonts w:ascii="Times New Roman" w:hAnsi="Times New Roman" w:eastAsia="宋体"/>
          <w:sz w:val="22"/>
        </w:rPr>
        <w:t>正式验证集覆盖 2026 年 2 月 2 日至 2026 年 2 月 23 日四个周度样本。验证集总体指标如下。</w:t>
      </w:r>
    </w:p>
    <w:tbl>
      <w:tblPr>
        <w:tblStyle w:val="TableGrid"/>
        <w:tblW w:type="auto" w:w="0"/>
        <w:tblLayout w:type="autofit"/>
        <w:tblLook w:firstColumn="1" w:firstRow="1" w:lastColumn="0" w:lastRow="0" w:noHBand="0" w:noVBand="1" w:val="04A0"/>
      </w:tblPr>
      <w:tblGrid>
        <w:gridCol w:w="4422"/>
        <w:gridCol w:w="4422"/>
      </w:tblGrid>
      <w:tr>
        <w:tc>
          <w:tcPr>
            <w:tcW w:type="dxa" w:w="4422"/>
          </w:tcPr>
          <w:p>
            <w:pPr>
              <w:spacing w:line="240" w:lineRule="auto"/>
            </w:pPr>
            <w:r>
              <w:rPr>
                <w:rFonts w:ascii="Times New Roman" w:hAnsi="Times New Roman" w:eastAsia="宋体"/>
                <w:sz w:val="18"/>
              </w:rPr>
              <w:t>指标</w:t>
            </w:r>
          </w:p>
        </w:tc>
        <w:tc>
          <w:tcPr>
            <w:tcW w:type="dxa" w:w="4422"/>
          </w:tcPr>
          <w:p>
            <w:pPr>
              <w:spacing w:line="240" w:lineRule="auto"/>
            </w:pPr>
            <w:r>
              <w:rPr>
                <w:rFonts w:ascii="Times New Roman" w:hAnsi="Times New Roman" w:eastAsia="宋体"/>
                <w:sz w:val="18"/>
              </w:rPr>
              <w:t>数值</w:t>
            </w:r>
          </w:p>
        </w:tc>
      </w:tr>
      <w:tr>
        <w:tc>
          <w:tcPr>
            <w:tcW w:type="dxa" w:w="4422"/>
          </w:tcPr>
          <w:p>
            <w:pPr>
              <w:spacing w:line="240" w:lineRule="auto"/>
            </w:pPr>
            <w:r>
              <w:rPr>
                <w:rFonts w:ascii="Times New Roman" w:hAnsi="Times New Roman" w:eastAsia="宋体"/>
                <w:sz w:val="18"/>
              </w:rPr>
              <w:t>累计采购成本</w:t>
            </w:r>
          </w:p>
        </w:tc>
        <w:tc>
          <w:tcPr>
            <w:tcW w:type="dxa" w:w="4422"/>
          </w:tcPr>
          <w:p>
            <w:pPr>
              <w:spacing w:line="240" w:lineRule="auto"/>
            </w:pPr>
            <w:r>
              <w:rPr>
                <w:rFonts w:ascii="Times New Roman" w:hAnsi="Times New Roman" w:eastAsia="宋体"/>
                <w:sz w:val="18"/>
              </w:rPr>
              <w:t>6,050,020,480.00</w:t>
            </w:r>
          </w:p>
        </w:tc>
      </w:tr>
      <w:tr>
        <w:tc>
          <w:tcPr>
            <w:tcW w:type="dxa" w:w="4422"/>
          </w:tcPr>
          <w:p>
            <w:pPr>
              <w:spacing w:line="240" w:lineRule="auto"/>
            </w:pPr>
            <w:r>
              <w:rPr>
                <w:rFonts w:ascii="Times New Roman" w:hAnsi="Times New Roman" w:eastAsia="宋体"/>
                <w:sz w:val="18"/>
              </w:rPr>
              <w:t>累计收益</w:t>
            </w:r>
          </w:p>
        </w:tc>
        <w:tc>
          <w:tcPr>
            <w:tcW w:type="dxa" w:w="4422"/>
          </w:tcPr>
          <w:p>
            <w:pPr>
              <w:spacing w:line="240" w:lineRule="auto"/>
            </w:pPr>
            <w:r>
              <w:rPr>
                <w:rFonts w:ascii="Times New Roman" w:hAnsi="Times New Roman" w:eastAsia="宋体"/>
                <w:sz w:val="18"/>
              </w:rPr>
              <w:t>-55,879,040.00</w:t>
            </w:r>
          </w:p>
        </w:tc>
      </w:tr>
      <w:tr>
        <w:tc>
          <w:tcPr>
            <w:tcW w:type="dxa" w:w="4422"/>
          </w:tcPr>
          <w:p>
            <w:pPr>
              <w:spacing w:line="240" w:lineRule="auto"/>
            </w:pPr>
            <w:r>
              <w:rPr>
                <w:rFonts w:ascii="Times New Roman" w:hAnsi="Times New Roman" w:eastAsia="宋体"/>
                <w:sz w:val="18"/>
              </w:rPr>
              <w:t>周度采购成本波动</w:t>
            </w:r>
          </w:p>
        </w:tc>
        <w:tc>
          <w:tcPr>
            <w:tcW w:type="dxa" w:w="4422"/>
          </w:tcPr>
          <w:p>
            <w:pPr>
              <w:spacing w:line="240" w:lineRule="auto"/>
            </w:pPr>
            <w:r>
              <w:rPr>
                <w:rFonts w:ascii="Times New Roman" w:hAnsi="Times New Roman" w:eastAsia="宋体"/>
                <w:sz w:val="18"/>
              </w:rPr>
              <w:t>231,947,418.51</w:t>
            </w:r>
          </w:p>
        </w:tc>
      </w:tr>
      <w:tr>
        <w:tc>
          <w:tcPr>
            <w:tcW w:type="dxa" w:w="4422"/>
          </w:tcPr>
          <w:p>
            <w:pPr>
              <w:spacing w:line="240" w:lineRule="auto"/>
            </w:pPr>
            <w:r>
              <w:rPr>
                <w:rFonts w:ascii="Times New Roman" w:hAnsi="Times New Roman" w:eastAsia="宋体"/>
                <w:sz w:val="18"/>
              </w:rPr>
              <w:t>CVaR99</w:t>
            </w:r>
          </w:p>
        </w:tc>
        <w:tc>
          <w:tcPr>
            <w:tcW w:type="dxa" w:w="4422"/>
          </w:tcPr>
          <w:p>
            <w:pPr>
              <w:spacing w:line="240" w:lineRule="auto"/>
            </w:pPr>
            <w:r>
              <w:rPr>
                <w:rFonts w:ascii="Times New Roman" w:hAnsi="Times New Roman" w:eastAsia="宋体"/>
                <w:sz w:val="18"/>
              </w:rPr>
              <w:t>5,457,256.25</w:t>
            </w:r>
          </w:p>
        </w:tc>
      </w:tr>
      <w:tr>
        <w:tc>
          <w:tcPr>
            <w:tcW w:type="dxa" w:w="4422"/>
          </w:tcPr>
          <w:p>
            <w:pPr>
              <w:spacing w:line="240" w:lineRule="auto"/>
            </w:pPr>
            <w:r>
              <w:rPr>
                <w:rFonts w:ascii="Times New Roman" w:hAnsi="Times New Roman" w:eastAsia="宋体"/>
                <w:sz w:val="18"/>
              </w:rPr>
              <w:t>套保误差</w:t>
            </w:r>
          </w:p>
        </w:tc>
        <w:tc>
          <w:tcPr>
            <w:tcW w:type="dxa" w:w="4422"/>
          </w:tcPr>
          <w:p>
            <w:pPr>
              <w:spacing w:line="240" w:lineRule="auto"/>
            </w:pPr>
            <w:r>
              <w:rPr>
                <w:rFonts w:ascii="Times New Roman" w:hAnsi="Times New Roman" w:eastAsia="宋体"/>
                <w:sz w:val="18"/>
              </w:rPr>
              <w:t>0.518624</w:t>
            </w:r>
          </w:p>
        </w:tc>
      </w:tr>
      <w:tr>
        <w:tc>
          <w:tcPr>
            <w:tcW w:type="dxa" w:w="4422"/>
          </w:tcPr>
          <w:p>
            <w:pPr>
              <w:spacing w:line="240" w:lineRule="auto"/>
            </w:pPr>
            <w:r>
              <w:rPr>
                <w:rFonts w:ascii="Times New Roman" w:hAnsi="Times New Roman" w:eastAsia="宋体"/>
                <w:sz w:val="18"/>
              </w:rPr>
              <w:t>平均现货净修正量</w:t>
            </w:r>
          </w:p>
        </w:tc>
        <w:tc>
          <w:tcPr>
            <w:tcW w:type="dxa" w:w="4422"/>
          </w:tcPr>
          <w:p>
            <w:pPr>
              <w:spacing w:line="240" w:lineRule="auto"/>
            </w:pPr>
            <w:r>
              <w:rPr>
                <w:rFonts w:ascii="Times New Roman" w:hAnsi="Times New Roman" w:eastAsia="宋体"/>
                <w:sz w:val="18"/>
              </w:rPr>
              <w:t>0.00</w:t>
            </w:r>
          </w:p>
        </w:tc>
      </w:tr>
      <w:tr>
        <w:tc>
          <w:tcPr>
            <w:tcW w:type="dxa" w:w="4422"/>
          </w:tcPr>
          <w:p>
            <w:pPr>
              <w:spacing w:line="240" w:lineRule="auto"/>
            </w:pPr>
            <w:r>
              <w:rPr>
                <w:rFonts w:ascii="Times New Roman" w:hAnsi="Times New Roman" w:eastAsia="宋体"/>
                <w:sz w:val="18"/>
              </w:rPr>
              <w:t>平均奖励</w:t>
            </w:r>
          </w:p>
        </w:tc>
        <w:tc>
          <w:tcPr>
            <w:tcW w:type="dxa" w:w="4422"/>
          </w:tcPr>
          <w:p>
            <w:pPr>
              <w:spacing w:line="240" w:lineRule="auto"/>
            </w:pPr>
            <w:r>
              <w:rPr>
                <w:rFonts w:ascii="Times New Roman" w:hAnsi="Times New Roman" w:eastAsia="宋体"/>
                <w:sz w:val="18"/>
              </w:rPr>
              <w:t>-198,355,412.00</w:t>
            </w:r>
          </w:p>
        </w:tc>
      </w:tr>
      <w:tr>
        <w:tc>
          <w:tcPr>
            <w:tcW w:type="dxa" w:w="4422"/>
          </w:tcPr>
          <w:p>
            <w:pPr>
              <w:spacing w:line="240" w:lineRule="auto"/>
            </w:pPr>
            <w:r>
              <w:rPr>
                <w:rFonts w:ascii="Times New Roman" w:hAnsi="Times New Roman" w:eastAsia="宋体"/>
                <w:sz w:val="18"/>
              </w:rPr>
              <w:t>最大回撤</w:t>
            </w:r>
          </w:p>
        </w:tc>
        <w:tc>
          <w:tcPr>
            <w:tcW w:type="dxa" w:w="4422"/>
          </w:tcPr>
          <w:p>
            <w:pPr>
              <w:spacing w:line="240" w:lineRule="auto"/>
            </w:pPr>
            <w:r>
              <w:rPr>
                <w:rFonts w:ascii="Times New Roman" w:hAnsi="Times New Roman" w:eastAsia="宋体"/>
                <w:sz w:val="18"/>
              </w:rPr>
              <w:t>26,777,716.00</w:t>
            </w:r>
          </w:p>
        </w:tc>
      </w:tr>
      <w:tr>
        <w:tc>
          <w:tcPr>
            <w:tcW w:type="dxa" w:w="4422"/>
          </w:tcPr>
          <w:p>
            <w:pPr>
              <w:spacing w:line="240" w:lineRule="auto"/>
            </w:pPr>
            <w:r>
              <w:rPr>
                <w:rFonts w:ascii="Times New Roman" w:hAnsi="Times New Roman" w:eastAsia="宋体"/>
                <w:sz w:val="18"/>
              </w:rPr>
              <w:t>触发可行域约束周数</w:t>
            </w:r>
          </w:p>
        </w:tc>
        <w:tc>
          <w:tcPr>
            <w:tcW w:type="dxa" w:w="4422"/>
          </w:tcPr>
          <w:p>
            <w:pPr>
              <w:spacing w:line="240" w:lineRule="auto"/>
            </w:pPr>
            <w:r>
              <w:rPr>
                <w:rFonts w:ascii="Times New Roman" w:hAnsi="Times New Roman" w:eastAsia="宋体"/>
                <w:sz w:val="18"/>
              </w:rPr>
              <w:t>4</w:t>
            </w:r>
          </w:p>
        </w:tc>
      </w:tr>
    </w:tbl>
    <w:p>
      <w:pPr>
        <w:spacing w:line="300" w:lineRule="auto"/>
        <w:ind w:firstLine="420"/>
      </w:pPr>
      <w:r>
        <w:rPr>
          <w:rFonts w:ascii="Times New Roman" w:hAnsi="Times New Roman" w:eastAsia="宋体"/>
          <w:sz w:val="22"/>
        </w:rPr>
        <w:t>验证集结果首先说明，主模型在该时段没有形成正累计收益。四个验证周均触发可行域约束，说明制度状态对策略空间具有持续影响。平均现货净修正量为 0，表明验证集中小时级现货修正没有形成实际净交易量，利润结果主要由周度底仓、价格口径和偏差结算共同决定。</w:t>
      </w:r>
    </w:p>
    <w:p>
      <w:pPr>
        <w:spacing w:line="300" w:lineRule="auto"/>
        <w:ind w:firstLine="420"/>
      </w:pPr>
      <w:r>
        <w:rPr>
          <w:rFonts w:ascii="Times New Roman" w:hAnsi="Times New Roman" w:eastAsia="宋体"/>
          <w:sz w:val="22"/>
        </w:rPr>
        <w:t>四个验证周相对动态锁仓强基准的超额收益均为负。</w:t>
      </w:r>
    </w:p>
    <w:tbl>
      <w:tblPr>
        <w:tblStyle w:val="TableGrid"/>
        <w:tblW w:type="auto" w:w="0"/>
        <w:tblLayout w:type="autofit"/>
        <w:tblLook w:firstColumn="1" w:firstRow="1" w:lastColumn="0" w:lastRow="0" w:noHBand="0" w:noVBand="1" w:val="04A0"/>
      </w:tblPr>
      <w:tblGrid>
        <w:gridCol w:w="1264"/>
        <w:gridCol w:w="1264"/>
        <w:gridCol w:w="1264"/>
        <w:gridCol w:w="1264"/>
        <w:gridCol w:w="1264"/>
        <w:gridCol w:w="1264"/>
        <w:gridCol w:w="1264"/>
      </w:tblGrid>
      <w:tr>
        <w:tc>
          <w:tcPr>
            <w:tcW w:type="dxa" w:w="1264"/>
          </w:tcPr>
          <w:p>
            <w:pPr>
              <w:spacing w:line="240" w:lineRule="auto"/>
            </w:pPr>
            <w:r>
              <w:rPr>
                <w:rFonts w:ascii="Times New Roman" w:hAnsi="Times New Roman" w:eastAsia="宋体"/>
                <w:sz w:val="18"/>
              </w:rPr>
              <w:t>周度起点</w:t>
            </w:r>
          </w:p>
        </w:tc>
        <w:tc>
          <w:tcPr>
            <w:tcW w:type="dxa" w:w="1264"/>
          </w:tcPr>
          <w:p>
            <w:pPr>
              <w:spacing w:line="240" w:lineRule="auto"/>
            </w:pPr>
            <w:r>
              <w:rPr>
                <w:rFonts w:ascii="Times New Roman" w:hAnsi="Times New Roman" w:eastAsia="宋体"/>
                <w:sz w:val="18"/>
              </w:rPr>
              <w:t>最终锁定比例</w:t>
            </w:r>
          </w:p>
        </w:tc>
        <w:tc>
          <w:tcPr>
            <w:tcW w:type="dxa" w:w="1264"/>
          </w:tcPr>
          <w:p>
            <w:pPr>
              <w:spacing w:line="240" w:lineRule="auto"/>
            </w:pPr>
            <w:r>
              <w:rPr>
                <w:rFonts w:ascii="Times New Roman" w:hAnsi="Times New Roman" w:eastAsia="宋体"/>
                <w:sz w:val="18"/>
              </w:rPr>
              <w:t>主策略周收益</w:t>
            </w:r>
          </w:p>
        </w:tc>
        <w:tc>
          <w:tcPr>
            <w:tcW w:type="dxa" w:w="1264"/>
          </w:tcPr>
          <w:p>
            <w:pPr>
              <w:spacing w:line="240" w:lineRule="auto"/>
            </w:pPr>
            <w:r>
              <w:rPr>
                <w:rFonts w:ascii="Times New Roman" w:hAnsi="Times New Roman" w:eastAsia="宋体"/>
                <w:sz w:val="18"/>
              </w:rPr>
              <w:t>强基准周收益</w:t>
            </w:r>
          </w:p>
        </w:tc>
        <w:tc>
          <w:tcPr>
            <w:tcW w:type="dxa" w:w="1264"/>
          </w:tcPr>
          <w:p>
            <w:pPr>
              <w:spacing w:line="240" w:lineRule="auto"/>
            </w:pPr>
            <w:r>
              <w:rPr>
                <w:rFonts w:ascii="Times New Roman" w:hAnsi="Times New Roman" w:eastAsia="宋体"/>
                <w:sz w:val="18"/>
              </w:rPr>
              <w:t>超额收益</w:t>
            </w:r>
          </w:p>
        </w:tc>
        <w:tc>
          <w:tcPr>
            <w:tcW w:type="dxa" w:w="1264"/>
          </w:tcPr>
          <w:p>
            <w:pPr>
              <w:spacing w:line="240" w:lineRule="auto"/>
            </w:pPr>
            <w:r>
              <w:rPr>
                <w:rFonts w:ascii="Times New Roman" w:hAnsi="Times New Roman" w:eastAsia="宋体"/>
                <w:sz w:val="18"/>
              </w:rPr>
              <w:t>CVaR99</w:t>
            </w:r>
          </w:p>
        </w:tc>
        <w:tc>
          <w:tcPr>
            <w:tcW w:type="dxa" w:w="1264"/>
          </w:tcPr>
          <w:p>
            <w:pPr>
              <w:spacing w:line="240" w:lineRule="auto"/>
            </w:pPr>
            <w:r>
              <w:rPr>
                <w:rFonts w:ascii="Times New Roman" w:hAnsi="Times New Roman" w:eastAsia="宋体"/>
                <w:sz w:val="18"/>
              </w:rPr>
              <w:t>主要约束状态</w:t>
            </w:r>
          </w:p>
        </w:tc>
      </w:tr>
      <w:tr>
        <w:tc>
          <w:tcPr>
            <w:tcW w:type="dxa" w:w="1264"/>
          </w:tcPr>
          <w:p>
            <w:pPr>
              <w:spacing w:line="240" w:lineRule="auto"/>
            </w:pPr>
            <w:r>
              <w:rPr>
                <w:rFonts w:ascii="Times New Roman" w:hAnsi="Times New Roman" w:eastAsia="宋体"/>
                <w:sz w:val="18"/>
              </w:rPr>
              <w:t>2026-02-02</w:t>
            </w:r>
          </w:p>
        </w:tc>
        <w:tc>
          <w:tcPr>
            <w:tcW w:type="dxa" w:w="1264"/>
          </w:tcPr>
          <w:p>
            <w:pPr>
              <w:spacing w:line="240" w:lineRule="auto"/>
            </w:pPr>
            <w:r>
              <w:rPr>
                <w:rFonts w:ascii="Times New Roman" w:hAnsi="Times New Roman" w:eastAsia="宋体"/>
                <w:sz w:val="18"/>
              </w:rPr>
              <w:t>0.48</w:t>
            </w:r>
          </w:p>
        </w:tc>
        <w:tc>
          <w:tcPr>
            <w:tcW w:type="dxa" w:w="1264"/>
          </w:tcPr>
          <w:p>
            <w:pPr>
              <w:spacing w:line="240" w:lineRule="auto"/>
            </w:pPr>
            <w:r>
              <w:rPr>
                <w:rFonts w:ascii="Times New Roman" w:hAnsi="Times New Roman" w:eastAsia="宋体"/>
                <w:sz w:val="18"/>
              </w:rPr>
              <w:t>-130,382,296</w:t>
            </w:r>
          </w:p>
        </w:tc>
        <w:tc>
          <w:tcPr>
            <w:tcW w:type="dxa" w:w="1264"/>
          </w:tcPr>
          <w:p>
            <w:pPr>
              <w:spacing w:line="240" w:lineRule="auto"/>
            </w:pPr>
            <w:r>
              <w:rPr>
                <w:rFonts w:ascii="Times New Roman" w:hAnsi="Times New Roman" w:eastAsia="宋体"/>
                <w:sz w:val="18"/>
              </w:rPr>
              <w:t>122,191,104</w:t>
            </w:r>
          </w:p>
        </w:tc>
        <w:tc>
          <w:tcPr>
            <w:tcW w:type="dxa" w:w="1264"/>
          </w:tcPr>
          <w:p>
            <w:pPr>
              <w:spacing w:line="240" w:lineRule="auto"/>
            </w:pPr>
            <w:r>
              <w:rPr>
                <w:rFonts w:ascii="Times New Roman" w:hAnsi="Times New Roman" w:eastAsia="宋体"/>
                <w:sz w:val="18"/>
              </w:rPr>
              <w:t>-252,573,408</w:t>
            </w:r>
          </w:p>
        </w:tc>
        <w:tc>
          <w:tcPr>
            <w:tcW w:type="dxa" w:w="1264"/>
          </w:tcPr>
          <w:p>
            <w:pPr>
              <w:spacing w:line="240" w:lineRule="auto"/>
            </w:pPr>
            <w:r>
              <w:rPr>
                <w:rFonts w:ascii="Times New Roman" w:hAnsi="Times New Roman" w:eastAsia="宋体"/>
                <w:sz w:val="18"/>
              </w:rPr>
              <w:t>6,637,969.50</w:t>
            </w:r>
          </w:p>
        </w:tc>
        <w:tc>
          <w:tcPr>
            <w:tcW w:type="dxa" w:w="1264"/>
          </w:tcPr>
          <w:p>
            <w:pPr>
              <w:spacing w:line="240" w:lineRule="auto"/>
            </w:pPr>
            <w:r>
              <w:rPr>
                <w:rFonts w:ascii="Times New Roman" w:hAnsi="Times New Roman" w:eastAsia="宋体"/>
                <w:sz w:val="18"/>
              </w:rPr>
              <w:t>价格联动、辅助服务收紧、新能源机制执行</w:t>
            </w:r>
          </w:p>
        </w:tc>
      </w:tr>
      <w:tr>
        <w:tc>
          <w:tcPr>
            <w:tcW w:type="dxa" w:w="1264"/>
          </w:tcPr>
          <w:p>
            <w:pPr>
              <w:spacing w:line="240" w:lineRule="auto"/>
            </w:pPr>
            <w:r>
              <w:rPr>
                <w:rFonts w:ascii="Times New Roman" w:hAnsi="Times New Roman" w:eastAsia="宋体"/>
                <w:sz w:val="18"/>
              </w:rPr>
              <w:t>2026-02-09</w:t>
            </w:r>
          </w:p>
        </w:tc>
        <w:tc>
          <w:tcPr>
            <w:tcW w:type="dxa" w:w="1264"/>
          </w:tcPr>
          <w:p>
            <w:pPr>
              <w:spacing w:line="240" w:lineRule="auto"/>
            </w:pPr>
            <w:r>
              <w:rPr>
                <w:rFonts w:ascii="Times New Roman" w:hAnsi="Times New Roman" w:eastAsia="宋体"/>
                <w:sz w:val="18"/>
              </w:rPr>
              <w:t>0.48</w:t>
            </w:r>
          </w:p>
        </w:tc>
        <w:tc>
          <w:tcPr>
            <w:tcW w:type="dxa" w:w="1264"/>
          </w:tcPr>
          <w:p>
            <w:pPr>
              <w:spacing w:line="240" w:lineRule="auto"/>
            </w:pPr>
            <w:r>
              <w:rPr>
                <w:rFonts w:ascii="Times New Roman" w:hAnsi="Times New Roman" w:eastAsia="宋体"/>
                <w:sz w:val="18"/>
              </w:rPr>
              <w:t>17,646,612</w:t>
            </w:r>
          </w:p>
        </w:tc>
        <w:tc>
          <w:tcPr>
            <w:tcW w:type="dxa" w:w="1264"/>
          </w:tcPr>
          <w:p>
            <w:pPr>
              <w:spacing w:line="240" w:lineRule="auto"/>
            </w:pPr>
            <w:r>
              <w:rPr>
                <w:rFonts w:ascii="Times New Roman" w:hAnsi="Times New Roman" w:eastAsia="宋体"/>
                <w:sz w:val="18"/>
              </w:rPr>
              <w:t>228,253,696</w:t>
            </w:r>
          </w:p>
        </w:tc>
        <w:tc>
          <w:tcPr>
            <w:tcW w:type="dxa" w:w="1264"/>
          </w:tcPr>
          <w:p>
            <w:pPr>
              <w:spacing w:line="240" w:lineRule="auto"/>
            </w:pPr>
            <w:r>
              <w:rPr>
                <w:rFonts w:ascii="Times New Roman" w:hAnsi="Times New Roman" w:eastAsia="宋体"/>
                <w:sz w:val="18"/>
              </w:rPr>
              <w:t>-210,607,088</w:t>
            </w:r>
          </w:p>
        </w:tc>
        <w:tc>
          <w:tcPr>
            <w:tcW w:type="dxa" w:w="1264"/>
          </w:tcPr>
          <w:p>
            <w:pPr>
              <w:spacing w:line="240" w:lineRule="auto"/>
            </w:pPr>
            <w:r>
              <w:rPr>
                <w:rFonts w:ascii="Times New Roman" w:hAnsi="Times New Roman" w:eastAsia="宋体"/>
                <w:sz w:val="18"/>
              </w:rPr>
              <w:t>5,844,641.00</w:t>
            </w:r>
          </w:p>
        </w:tc>
        <w:tc>
          <w:tcPr>
            <w:tcW w:type="dxa" w:w="1264"/>
          </w:tcPr>
          <w:p>
            <w:pPr>
              <w:spacing w:line="240" w:lineRule="auto"/>
            </w:pPr>
            <w:r>
              <w:rPr>
                <w:rFonts w:ascii="Times New Roman" w:hAnsi="Times New Roman" w:eastAsia="宋体"/>
                <w:sz w:val="18"/>
              </w:rPr>
              <w:t>价格联动、辅助服务收紧、新能源机制执行</w:t>
            </w:r>
          </w:p>
        </w:tc>
      </w:tr>
      <w:tr>
        <w:tc>
          <w:tcPr>
            <w:tcW w:type="dxa" w:w="1264"/>
          </w:tcPr>
          <w:p>
            <w:pPr>
              <w:spacing w:line="240" w:lineRule="auto"/>
            </w:pPr>
            <w:r>
              <w:rPr>
                <w:rFonts w:ascii="Times New Roman" w:hAnsi="Times New Roman" w:eastAsia="宋体"/>
                <w:sz w:val="18"/>
              </w:rPr>
              <w:t>2026-02-16</w:t>
            </w:r>
          </w:p>
        </w:tc>
        <w:tc>
          <w:tcPr>
            <w:tcW w:type="dxa" w:w="1264"/>
          </w:tcPr>
          <w:p>
            <w:pPr>
              <w:spacing w:line="240" w:lineRule="auto"/>
            </w:pPr>
            <w:r>
              <w:rPr>
                <w:rFonts w:ascii="Times New Roman" w:hAnsi="Times New Roman" w:eastAsia="宋体"/>
                <w:sz w:val="18"/>
              </w:rPr>
              <w:t>0.48</w:t>
            </w:r>
          </w:p>
        </w:tc>
        <w:tc>
          <w:tcPr>
            <w:tcW w:type="dxa" w:w="1264"/>
          </w:tcPr>
          <w:p>
            <w:pPr>
              <w:spacing w:line="240" w:lineRule="auto"/>
            </w:pPr>
            <w:r>
              <w:rPr>
                <w:rFonts w:ascii="Times New Roman" w:hAnsi="Times New Roman" w:eastAsia="宋体"/>
                <w:sz w:val="18"/>
              </w:rPr>
              <w:t>83,634,360</w:t>
            </w:r>
          </w:p>
        </w:tc>
        <w:tc>
          <w:tcPr>
            <w:tcW w:type="dxa" w:w="1264"/>
          </w:tcPr>
          <w:p>
            <w:pPr>
              <w:spacing w:line="240" w:lineRule="auto"/>
            </w:pPr>
            <w:r>
              <w:rPr>
                <w:rFonts w:ascii="Times New Roman" w:hAnsi="Times New Roman" w:eastAsia="宋体"/>
                <w:sz w:val="18"/>
              </w:rPr>
              <w:t>207,379,072</w:t>
            </w:r>
          </w:p>
        </w:tc>
        <w:tc>
          <w:tcPr>
            <w:tcW w:type="dxa" w:w="1264"/>
          </w:tcPr>
          <w:p>
            <w:pPr>
              <w:spacing w:line="240" w:lineRule="auto"/>
            </w:pPr>
            <w:r>
              <w:rPr>
                <w:rFonts w:ascii="Times New Roman" w:hAnsi="Times New Roman" w:eastAsia="宋体"/>
                <w:sz w:val="18"/>
              </w:rPr>
              <w:t>-123,744,712</w:t>
            </w:r>
          </w:p>
        </w:tc>
        <w:tc>
          <w:tcPr>
            <w:tcW w:type="dxa" w:w="1264"/>
          </w:tcPr>
          <w:p>
            <w:pPr>
              <w:spacing w:line="240" w:lineRule="auto"/>
            </w:pPr>
            <w:r>
              <w:rPr>
                <w:rFonts w:ascii="Times New Roman" w:hAnsi="Times New Roman" w:eastAsia="宋体"/>
                <w:sz w:val="18"/>
              </w:rPr>
              <w:t>4,423,858.50</w:t>
            </w:r>
          </w:p>
        </w:tc>
        <w:tc>
          <w:tcPr>
            <w:tcW w:type="dxa" w:w="1264"/>
          </w:tcPr>
          <w:p>
            <w:pPr>
              <w:spacing w:line="240" w:lineRule="auto"/>
            </w:pPr>
            <w:r>
              <w:rPr>
                <w:rFonts w:ascii="Times New Roman" w:hAnsi="Times New Roman" w:eastAsia="宋体"/>
                <w:sz w:val="18"/>
              </w:rPr>
              <w:t>价格联动、辅助服务收紧、新能源机制执行</w:t>
            </w:r>
          </w:p>
        </w:tc>
      </w:tr>
      <w:tr>
        <w:tc>
          <w:tcPr>
            <w:tcW w:type="dxa" w:w="1264"/>
          </w:tcPr>
          <w:p>
            <w:pPr>
              <w:spacing w:line="240" w:lineRule="auto"/>
            </w:pPr>
            <w:r>
              <w:rPr>
                <w:rFonts w:ascii="Times New Roman" w:hAnsi="Times New Roman" w:eastAsia="宋体"/>
                <w:sz w:val="18"/>
              </w:rPr>
              <w:t>2026-02-23</w:t>
            </w:r>
          </w:p>
        </w:tc>
        <w:tc>
          <w:tcPr>
            <w:tcW w:type="dxa" w:w="1264"/>
          </w:tcPr>
          <w:p>
            <w:pPr>
              <w:spacing w:line="240" w:lineRule="auto"/>
            </w:pPr>
            <w:r>
              <w:rPr>
                <w:rFonts w:ascii="Times New Roman" w:hAnsi="Times New Roman" w:eastAsia="宋体"/>
                <w:sz w:val="18"/>
              </w:rPr>
              <w:t>0.48</w:t>
            </w:r>
          </w:p>
        </w:tc>
        <w:tc>
          <w:tcPr>
            <w:tcW w:type="dxa" w:w="1264"/>
          </w:tcPr>
          <w:p>
            <w:pPr>
              <w:spacing w:line="240" w:lineRule="auto"/>
            </w:pPr>
            <w:r>
              <w:rPr>
                <w:rFonts w:ascii="Times New Roman" w:hAnsi="Times New Roman" w:eastAsia="宋体"/>
                <w:sz w:val="18"/>
              </w:rPr>
              <w:t>-26,777,716</w:t>
            </w:r>
          </w:p>
        </w:tc>
        <w:tc>
          <w:tcPr>
            <w:tcW w:type="dxa" w:w="1264"/>
          </w:tcPr>
          <w:p>
            <w:pPr>
              <w:spacing w:line="240" w:lineRule="auto"/>
            </w:pPr>
            <w:r>
              <w:rPr>
                <w:rFonts w:ascii="Times New Roman" w:hAnsi="Times New Roman" w:eastAsia="宋体"/>
                <w:sz w:val="18"/>
              </w:rPr>
              <w:t>162,310,528</w:t>
            </w:r>
          </w:p>
        </w:tc>
        <w:tc>
          <w:tcPr>
            <w:tcW w:type="dxa" w:w="1264"/>
          </w:tcPr>
          <w:p>
            <w:pPr>
              <w:spacing w:line="240" w:lineRule="auto"/>
            </w:pPr>
            <w:r>
              <w:rPr>
                <w:rFonts w:ascii="Times New Roman" w:hAnsi="Times New Roman" w:eastAsia="宋体"/>
                <w:sz w:val="18"/>
              </w:rPr>
              <w:t>-189,088,240</w:t>
            </w:r>
          </w:p>
        </w:tc>
        <w:tc>
          <w:tcPr>
            <w:tcW w:type="dxa" w:w="1264"/>
          </w:tcPr>
          <w:p>
            <w:pPr>
              <w:spacing w:line="240" w:lineRule="auto"/>
            </w:pPr>
            <w:r>
              <w:rPr>
                <w:rFonts w:ascii="Times New Roman" w:hAnsi="Times New Roman" w:eastAsia="宋体"/>
                <w:sz w:val="18"/>
              </w:rPr>
              <w:t>4,922,556.00</w:t>
            </w:r>
          </w:p>
        </w:tc>
        <w:tc>
          <w:tcPr>
            <w:tcW w:type="dxa" w:w="1264"/>
          </w:tcPr>
          <w:p>
            <w:pPr>
              <w:spacing w:line="240" w:lineRule="auto"/>
            </w:pPr>
            <w:r>
              <w:rPr>
                <w:rFonts w:ascii="Times New Roman" w:hAnsi="Times New Roman" w:eastAsia="宋体"/>
                <w:sz w:val="18"/>
              </w:rPr>
              <w:t>价格联动、辅助服务收紧、新能源机制执行</w:t>
            </w:r>
          </w:p>
        </w:tc>
      </w:tr>
    </w:tbl>
    <w:p>
      <w:pPr>
        <w:spacing w:line="300" w:lineRule="auto"/>
        <w:ind w:firstLine="420"/>
      </w:pPr>
      <w:r>
        <w:t>验证集结果显示，主模型尚未形成相对强基准的收益优势。其结果主要体现为制度投影、底仓调整和风险指标链条的可解释性：四周最终锁定比例均为 0.48，说明 2026 年 2 月以后价格联动和辅助服务收紧状态使原始合约调整被投影到较保守的持仓水平。</w:t>
      </w:r>
    </w:p>
    <w:p>
      <w:pPr>
        <w:pStyle w:val="Heading2"/>
      </w:pPr>
      <w:r>
        <w:rPr>
          <w:rFonts w:ascii="Times New Roman" w:hAnsi="Times New Roman" w:eastAsia="宋体"/>
          <w:sz w:val="28"/>
        </w:rPr>
        <w:t>5.3 周度底仓调整与合约曲线结果分析</w:t>
      </w:r>
    </w:p>
    <w:p>
      <w:pPr>
        <w:spacing w:line="300" w:lineRule="auto"/>
        <w:ind w:firstLine="420"/>
      </w:pPr>
      <w:r>
        <w:rPr>
          <w:rFonts w:ascii="Times New Roman" w:hAnsi="Times New Roman" w:eastAsia="宋体"/>
          <w:sz w:val="22"/>
        </w:rPr>
        <w:t>周度结果显示，模型以 0.60 的基准底仓为起点，在制度可行域约束下将正式验证周的最终锁定比例调整为 0.48。2026 年 2 月 2 日原始合约调整量为 -1,204,162.125 MWh，执行调整量为 -481,664.84375 MWh；2026 年 2 月 9 日原始调整量为 -1,142,700.625 MWh，执行调整量为 -457,080.21875 MWh。原始动作和执行动作之间的差距说明，模型试图进一步降低底仓，但价格联动、辅助服务收紧和新能源机制执行共同触发的可行域限制压缩了调整幅度。</w:t>
      </w:r>
    </w:p>
    <w:p>
      <w:pPr>
        <w:spacing w:line="300" w:lineRule="auto"/>
        <w:ind w:firstLine="420"/>
      </w:pPr>
      <w:r>
        <w:t>这种结果的经济含义是：进入 2026 年 2 月后，中长期价格联动机制改变了合约成本代理，辅助服务收紧降低了现货侧灵活空间，新能源机制执行又增加了制度状态的约束组合。模型在可行域内保留低于基准的底仓，同时通过政策投影控制中长期头寸降幅。该结果对应政策投影后的可执行底仓和合同比例调整。</w:t>
      </w:r>
    </w:p>
    <w:p>
      <w:pPr>
        <w:spacing w:line="300" w:lineRule="auto"/>
        <w:ind w:firstLine="420"/>
      </w:pPr>
      <w:r>
        <w:t>合约价值周度结果显示，验证周的合约价值分别为 485.56、478.63、424.17 和 478.46，锁定比例代理值均为 0.48。曲线匹配度与稳定性得分处于 0.43 至 0.48 附近，说明当前 24 小时曲线在结构匹配和稳定性方面形成了可计算输出，尚不足以说明曲线显著优越。合约曲线可以作为“周度底仓向日内结算结构分解”的机制证据。</w:t>
      </w:r>
    </w:p>
    <w:p>
      <w:pPr>
        <w:pStyle w:val="Heading2"/>
      </w:pPr>
      <w:r>
        <w:rPr>
          <w:rFonts w:ascii="Times New Roman" w:hAnsi="Times New Roman" w:eastAsia="宋体"/>
          <w:sz w:val="28"/>
        </w:rPr>
        <w:t>5.4 滚动回测与基准策略比较</w:t>
      </w:r>
    </w:p>
    <w:p>
      <w:pPr>
        <w:spacing w:line="300" w:lineRule="auto"/>
        <w:ind w:firstLine="420"/>
      </w:pPr>
      <w:r>
        <w:rPr>
          <w:rFonts w:ascii="Times New Roman" w:hAnsi="Times New Roman" w:eastAsia="宋体"/>
          <w:sz w:val="22"/>
        </w:rPr>
        <w:t>滚动回测采用 10 个扩展窗口单周测试。10 个窗口总收益为 1,264,994,116 元，平均收益为 126,499,411.60 元，其中 7 个窗口收益为正，3 个窗口收益为负，平均 CVaR99 为 4,683,088.90。滚动结果比正式验证集更平稳，但仍需结合强基准判断。</w:t>
      </w:r>
    </w:p>
    <w:p>
      <w:pPr>
        <w:spacing w:line="300" w:lineRule="auto"/>
        <w:ind w:firstLine="420"/>
      </w:pPr>
      <w:r>
        <w:t>单周超额收益有 4 个窗口为正、6 个窗口为非正，平均单周超额收益为 -48,846,949.60 元。正式评价中“持续跑赢动态锁仓强基准”的窗口数为 0。单周正超额收益只反映局部窗口表现，稳定跑赢判断仍以持续性指标为准。</w:t>
      </w:r>
    </w:p>
    <w:p>
      <w:pPr>
        <w:spacing w:line="300" w:lineRule="auto"/>
        <w:ind w:firstLine="420"/>
      </w:pPr>
      <w:r>
        <w:rPr>
          <w:rFonts w:ascii="Times New Roman" w:hAnsi="Times New Roman" w:eastAsia="宋体"/>
          <w:sz w:val="22"/>
        </w:rPr>
        <w:t>持出集基准比较提供了更直接的策略对照。</w:t>
      </w:r>
    </w:p>
    <w:tbl>
      <w:tblPr>
        <w:tblStyle w:val="TableGrid"/>
        <w:tblW w:type="auto" w:w="0"/>
        <w:tblLayout w:type="autofit"/>
        <w:tblLook w:firstColumn="1" w:firstRow="1" w:lastColumn="0" w:lastRow="0" w:noHBand="0" w:noVBand="1" w:val="04A0"/>
      </w:tblPr>
      <w:tblGrid>
        <w:gridCol w:w="2211"/>
        <w:gridCol w:w="2211"/>
        <w:gridCol w:w="2211"/>
        <w:gridCol w:w="2211"/>
      </w:tblGrid>
      <w:tr>
        <w:tc>
          <w:tcPr>
            <w:tcW w:type="dxa" w:w="2211"/>
          </w:tcPr>
          <w:p>
            <w:pPr>
              <w:spacing w:line="240" w:lineRule="auto"/>
            </w:pPr>
            <w:r>
              <w:rPr>
                <w:rFonts w:ascii="Times New Roman" w:hAnsi="Times New Roman" w:eastAsia="宋体"/>
                <w:sz w:val="18"/>
              </w:rPr>
              <w:t>策略</w:t>
            </w:r>
          </w:p>
        </w:tc>
        <w:tc>
          <w:tcPr>
            <w:tcW w:type="dxa" w:w="2211"/>
          </w:tcPr>
          <w:p>
            <w:pPr>
              <w:spacing w:line="240" w:lineRule="auto"/>
            </w:pPr>
            <w:r>
              <w:rPr>
                <w:rFonts w:ascii="Times New Roman" w:hAnsi="Times New Roman" w:eastAsia="宋体"/>
                <w:sz w:val="18"/>
              </w:rPr>
              <w:t>累计收益</w:t>
            </w:r>
          </w:p>
        </w:tc>
        <w:tc>
          <w:tcPr>
            <w:tcW w:type="dxa" w:w="2211"/>
          </w:tcPr>
          <w:p>
            <w:pPr>
              <w:spacing w:line="240" w:lineRule="auto"/>
            </w:pPr>
            <w:r>
              <w:rPr>
                <w:rFonts w:ascii="Times New Roman" w:hAnsi="Times New Roman" w:eastAsia="宋体"/>
                <w:sz w:val="18"/>
              </w:rPr>
              <w:t>CVaR99</w:t>
            </w:r>
          </w:p>
        </w:tc>
        <w:tc>
          <w:tcPr>
            <w:tcW w:type="dxa" w:w="2211"/>
          </w:tcPr>
          <w:p>
            <w:pPr>
              <w:spacing w:line="240" w:lineRule="auto"/>
            </w:pPr>
            <w:r>
              <w:rPr>
                <w:rFonts w:ascii="Times New Roman" w:hAnsi="Times New Roman" w:eastAsia="宋体"/>
                <w:sz w:val="18"/>
              </w:rPr>
              <w:t>相对动态锁仓强基准收益差</w:t>
            </w:r>
          </w:p>
        </w:tc>
      </w:tr>
      <w:tr>
        <w:tc>
          <w:tcPr>
            <w:tcW w:type="dxa" w:w="2211"/>
          </w:tcPr>
          <w:p>
            <w:pPr>
              <w:spacing w:line="240" w:lineRule="auto"/>
            </w:pPr>
            <w:r>
              <w:rPr>
                <w:rFonts w:ascii="Times New Roman" w:hAnsi="Times New Roman" w:eastAsia="宋体"/>
                <w:sz w:val="18"/>
              </w:rPr>
              <w:t>动态锁仓强基准</w:t>
            </w:r>
          </w:p>
        </w:tc>
        <w:tc>
          <w:tcPr>
            <w:tcW w:type="dxa" w:w="2211"/>
          </w:tcPr>
          <w:p>
            <w:pPr>
              <w:spacing w:line="240" w:lineRule="auto"/>
            </w:pPr>
            <w:r>
              <w:rPr>
                <w:rFonts w:ascii="Times New Roman" w:hAnsi="Times New Roman" w:eastAsia="宋体"/>
                <w:sz w:val="18"/>
              </w:rPr>
              <w:t>1,264,739,082.00</w:t>
            </w:r>
          </w:p>
        </w:tc>
        <w:tc>
          <w:tcPr>
            <w:tcW w:type="dxa" w:w="2211"/>
          </w:tcPr>
          <w:p>
            <w:pPr>
              <w:spacing w:line="240" w:lineRule="auto"/>
            </w:pPr>
            <w:r>
              <w:rPr>
                <w:rFonts w:ascii="Times New Roman" w:hAnsi="Times New Roman" w:eastAsia="宋体"/>
                <w:sz w:val="18"/>
              </w:rPr>
              <w:t>3,727,731.14</w:t>
            </w:r>
          </w:p>
        </w:tc>
        <w:tc>
          <w:tcPr>
            <w:tcW w:type="dxa" w:w="2211"/>
          </w:tcPr>
          <w:p>
            <w:pPr>
              <w:spacing w:line="240" w:lineRule="auto"/>
            </w:pPr>
            <w:r>
              <w:rPr>
                <w:rFonts w:ascii="Times New Roman" w:hAnsi="Times New Roman" w:eastAsia="宋体"/>
                <w:sz w:val="18"/>
              </w:rPr>
              <w:t>0.00</w:t>
            </w:r>
          </w:p>
        </w:tc>
      </w:tr>
      <w:tr>
        <w:tc>
          <w:tcPr>
            <w:tcW w:type="dxa" w:w="2211"/>
          </w:tcPr>
          <w:p>
            <w:pPr>
              <w:spacing w:line="240" w:lineRule="auto"/>
            </w:pPr>
            <w:r>
              <w:rPr>
                <w:rFonts w:ascii="Times New Roman" w:hAnsi="Times New Roman" w:eastAsia="宋体"/>
                <w:sz w:val="18"/>
              </w:rPr>
              <w:t>固定六成持仓</w:t>
            </w:r>
          </w:p>
        </w:tc>
        <w:tc>
          <w:tcPr>
            <w:tcW w:type="dxa" w:w="2211"/>
          </w:tcPr>
          <w:p>
            <w:pPr>
              <w:spacing w:line="240" w:lineRule="auto"/>
            </w:pPr>
            <w:r>
              <w:rPr>
                <w:rFonts w:ascii="Times New Roman" w:hAnsi="Times New Roman" w:eastAsia="宋体"/>
                <w:sz w:val="18"/>
              </w:rPr>
              <w:t>1,214,118,282.00</w:t>
            </w:r>
          </w:p>
        </w:tc>
        <w:tc>
          <w:tcPr>
            <w:tcW w:type="dxa" w:w="2211"/>
          </w:tcPr>
          <w:p>
            <w:pPr>
              <w:spacing w:line="240" w:lineRule="auto"/>
            </w:pPr>
            <w:r>
              <w:rPr>
                <w:rFonts w:ascii="Times New Roman" w:hAnsi="Times New Roman" w:eastAsia="宋体"/>
                <w:sz w:val="18"/>
              </w:rPr>
              <w:t>3,685,312.71</w:t>
            </w:r>
          </w:p>
        </w:tc>
        <w:tc>
          <w:tcPr>
            <w:tcW w:type="dxa" w:w="2211"/>
          </w:tcPr>
          <w:p>
            <w:pPr>
              <w:spacing w:line="240" w:lineRule="auto"/>
            </w:pPr>
            <w:r>
              <w:rPr>
                <w:rFonts w:ascii="Times New Roman" w:hAnsi="Times New Roman" w:eastAsia="宋体"/>
                <w:sz w:val="18"/>
              </w:rPr>
              <w:t>-50,620,800.00</w:t>
            </w:r>
          </w:p>
        </w:tc>
      </w:tr>
      <w:tr>
        <w:tc>
          <w:tcPr>
            <w:tcW w:type="dxa" w:w="2211"/>
          </w:tcPr>
          <w:p>
            <w:pPr>
              <w:spacing w:line="240" w:lineRule="auto"/>
            </w:pPr>
            <w:r>
              <w:rPr>
                <w:rFonts w:ascii="Times New Roman" w:hAnsi="Times New Roman" w:eastAsia="宋体"/>
                <w:sz w:val="18"/>
              </w:rPr>
              <w:t>静态无现货修正</w:t>
            </w:r>
          </w:p>
        </w:tc>
        <w:tc>
          <w:tcPr>
            <w:tcW w:type="dxa" w:w="2211"/>
          </w:tcPr>
          <w:p>
            <w:pPr>
              <w:spacing w:line="240" w:lineRule="auto"/>
            </w:pPr>
            <w:r>
              <w:rPr>
                <w:rFonts w:ascii="Times New Roman" w:hAnsi="Times New Roman" w:eastAsia="宋体"/>
                <w:sz w:val="18"/>
              </w:rPr>
              <w:t>1,314,155,722.00</w:t>
            </w:r>
          </w:p>
        </w:tc>
        <w:tc>
          <w:tcPr>
            <w:tcW w:type="dxa" w:w="2211"/>
          </w:tcPr>
          <w:p>
            <w:pPr>
              <w:spacing w:line="240" w:lineRule="auto"/>
            </w:pPr>
            <w:r>
              <w:rPr>
                <w:rFonts w:ascii="Times New Roman" w:hAnsi="Times New Roman" w:eastAsia="宋体"/>
                <w:sz w:val="18"/>
              </w:rPr>
              <w:t>3,770,644.00</w:t>
            </w:r>
          </w:p>
        </w:tc>
        <w:tc>
          <w:tcPr>
            <w:tcW w:type="dxa" w:w="2211"/>
          </w:tcPr>
          <w:p>
            <w:pPr>
              <w:spacing w:line="240" w:lineRule="auto"/>
            </w:pPr>
            <w:r>
              <w:rPr>
                <w:rFonts w:ascii="Times New Roman" w:hAnsi="Times New Roman" w:eastAsia="宋体"/>
                <w:sz w:val="18"/>
              </w:rPr>
              <w:t>49,416,640.00</w:t>
            </w:r>
          </w:p>
        </w:tc>
      </w:tr>
      <w:tr>
        <w:tc>
          <w:tcPr>
            <w:tcW w:type="dxa" w:w="2211"/>
          </w:tcPr>
          <w:p>
            <w:pPr>
              <w:spacing w:line="240" w:lineRule="auto"/>
            </w:pPr>
            <w:r>
              <w:rPr>
                <w:rFonts w:ascii="Times New Roman" w:hAnsi="Times New Roman" w:eastAsia="宋体"/>
                <w:sz w:val="18"/>
              </w:rPr>
              <w:t>简单滚动对冲</w:t>
            </w:r>
          </w:p>
        </w:tc>
        <w:tc>
          <w:tcPr>
            <w:tcW w:type="dxa" w:w="2211"/>
          </w:tcPr>
          <w:p>
            <w:pPr>
              <w:spacing w:line="240" w:lineRule="auto"/>
            </w:pPr>
            <w:r>
              <w:rPr>
                <w:rFonts w:ascii="Times New Roman" w:hAnsi="Times New Roman" w:eastAsia="宋体"/>
                <w:sz w:val="18"/>
              </w:rPr>
              <w:t>1,290,957,432.99</w:t>
            </w:r>
          </w:p>
        </w:tc>
        <w:tc>
          <w:tcPr>
            <w:tcW w:type="dxa" w:w="2211"/>
          </w:tcPr>
          <w:p>
            <w:pPr>
              <w:spacing w:line="240" w:lineRule="auto"/>
            </w:pPr>
            <w:r>
              <w:rPr>
                <w:rFonts w:ascii="Times New Roman" w:hAnsi="Times New Roman" w:eastAsia="宋体"/>
                <w:sz w:val="18"/>
              </w:rPr>
              <w:t>3,748,183.36</w:t>
            </w:r>
          </w:p>
        </w:tc>
        <w:tc>
          <w:tcPr>
            <w:tcW w:type="dxa" w:w="2211"/>
          </w:tcPr>
          <w:p>
            <w:pPr>
              <w:spacing w:line="240" w:lineRule="auto"/>
            </w:pPr>
            <w:r>
              <w:rPr>
                <w:rFonts w:ascii="Times New Roman" w:hAnsi="Times New Roman" w:eastAsia="宋体"/>
                <w:sz w:val="18"/>
              </w:rPr>
              <w:t>26,218,350.99</w:t>
            </w:r>
          </w:p>
        </w:tc>
      </w:tr>
    </w:tbl>
    <w:p>
      <w:pPr>
        <w:spacing w:line="300" w:lineRule="auto"/>
        <w:ind w:firstLine="420"/>
      </w:pPr>
      <w:r>
        <w:t>基准比较结果显示，动态锁仓策略构成较强对照：固定六成持仓低于该基准，静态无现货修正和简单滚动对冲在利润口径上高于该基准。静态无现货修正虽然利润更高，但 CVaR99 也高于动态锁仓强基准，说明利润改善伴随一定尾部成本压力。该结果用于识别不同策略的收益风险特征和适用条件。</w:t>
      </w:r>
    </w:p>
    <w:p>
      <w:pPr>
        <w:pStyle w:val="Heading2"/>
      </w:pPr>
      <w:r>
        <w:rPr>
          <w:rFonts w:ascii="Times New Roman" w:hAnsi="Times New Roman" w:eastAsia="宋体"/>
          <w:sz w:val="28"/>
        </w:rPr>
        <w:t>5.5 消融实验与稳健性检验</w:t>
      </w:r>
    </w:p>
    <w:p>
      <w:pPr>
        <w:spacing w:line="300" w:lineRule="auto"/>
        <w:ind w:firstLine="420"/>
      </w:pPr>
      <w:r>
        <w:rPr>
          <w:rFonts w:ascii="Times New Roman" w:hAnsi="Times New Roman" w:eastAsia="宋体"/>
          <w:sz w:val="22"/>
        </w:rPr>
        <w:t>消融结果显示，不同机制对收益和风险的影响并不一致。</w:t>
      </w:r>
    </w:p>
    <w:tbl>
      <w:tblPr>
        <w:tblStyle w:val="TableGrid"/>
        <w:tblW w:type="auto" w:w="0"/>
        <w:tblLayout w:type="autofit"/>
        <w:tblLook w:firstColumn="1" w:firstRow="1" w:lastColumn="0" w:lastRow="0" w:noHBand="0" w:noVBand="1" w:val="04A0"/>
      </w:tblPr>
      <w:tblGrid>
        <w:gridCol w:w="1769"/>
        <w:gridCol w:w="1769"/>
        <w:gridCol w:w="1769"/>
        <w:gridCol w:w="1769"/>
        <w:gridCol w:w="1769"/>
      </w:tblGrid>
      <w:tr>
        <w:tc>
          <w:tcPr>
            <w:tcW w:type="dxa" w:w="1769"/>
          </w:tcPr>
          <w:p>
            <w:pPr>
              <w:spacing w:line="240" w:lineRule="auto"/>
            </w:pPr>
            <w:r>
              <w:rPr>
                <w:rFonts w:ascii="Times New Roman" w:hAnsi="Times New Roman" w:eastAsia="宋体"/>
                <w:sz w:val="18"/>
              </w:rPr>
              <w:t>情景</w:t>
            </w:r>
          </w:p>
        </w:tc>
        <w:tc>
          <w:tcPr>
            <w:tcW w:type="dxa" w:w="1769"/>
          </w:tcPr>
          <w:p>
            <w:pPr>
              <w:spacing w:line="240" w:lineRule="auto"/>
            </w:pPr>
            <w:r>
              <w:rPr>
                <w:rFonts w:ascii="Times New Roman" w:hAnsi="Times New Roman" w:eastAsia="宋体"/>
                <w:sz w:val="18"/>
              </w:rPr>
              <w:t>累计收益</w:t>
            </w:r>
          </w:p>
        </w:tc>
        <w:tc>
          <w:tcPr>
            <w:tcW w:type="dxa" w:w="1769"/>
          </w:tcPr>
          <w:p>
            <w:pPr>
              <w:spacing w:line="240" w:lineRule="auto"/>
            </w:pPr>
            <w:r>
              <w:rPr>
                <w:rFonts w:ascii="Times New Roman" w:hAnsi="Times New Roman" w:eastAsia="宋体"/>
                <w:sz w:val="18"/>
              </w:rPr>
              <w:t>CVaR99</w:t>
            </w:r>
          </w:p>
        </w:tc>
        <w:tc>
          <w:tcPr>
            <w:tcW w:type="dxa" w:w="1769"/>
          </w:tcPr>
          <w:p>
            <w:pPr>
              <w:spacing w:line="240" w:lineRule="auto"/>
            </w:pPr>
            <w:r>
              <w:rPr>
                <w:rFonts w:ascii="Times New Roman" w:hAnsi="Times New Roman" w:eastAsia="宋体"/>
                <w:sz w:val="18"/>
              </w:rPr>
              <w:t>套保误差</w:t>
            </w:r>
          </w:p>
        </w:tc>
        <w:tc>
          <w:tcPr>
            <w:tcW w:type="dxa" w:w="1769"/>
          </w:tcPr>
          <w:p>
            <w:pPr>
              <w:spacing w:line="240" w:lineRule="auto"/>
            </w:pPr>
            <w:r>
              <w:rPr>
                <w:rFonts w:ascii="Times New Roman" w:hAnsi="Times New Roman" w:eastAsia="宋体"/>
                <w:sz w:val="18"/>
              </w:rPr>
              <w:t>可行域触发周数</w:t>
            </w:r>
          </w:p>
        </w:tc>
      </w:tr>
      <w:tr>
        <w:tc>
          <w:tcPr>
            <w:tcW w:type="dxa" w:w="1769"/>
          </w:tcPr>
          <w:p>
            <w:pPr>
              <w:spacing w:line="240" w:lineRule="auto"/>
            </w:pPr>
            <w:r>
              <w:rPr>
                <w:rFonts w:ascii="Times New Roman" w:hAnsi="Times New Roman" w:eastAsia="宋体"/>
                <w:sz w:val="18"/>
              </w:rPr>
              <w:t>完整模型</w:t>
            </w:r>
          </w:p>
        </w:tc>
        <w:tc>
          <w:tcPr>
            <w:tcW w:type="dxa" w:w="1769"/>
          </w:tcPr>
          <w:p>
            <w:pPr>
              <w:spacing w:line="240" w:lineRule="auto"/>
            </w:pPr>
            <w:r>
              <w:rPr>
                <w:rFonts w:ascii="Times New Roman" w:hAnsi="Times New Roman" w:eastAsia="宋体"/>
                <w:sz w:val="18"/>
              </w:rPr>
              <w:t>1,264,994,116.00</w:t>
            </w:r>
          </w:p>
        </w:tc>
        <w:tc>
          <w:tcPr>
            <w:tcW w:type="dxa" w:w="1769"/>
          </w:tcPr>
          <w:p>
            <w:pPr>
              <w:spacing w:line="240" w:lineRule="auto"/>
            </w:pPr>
            <w:r>
              <w:rPr>
                <w:rFonts w:ascii="Times New Roman" w:hAnsi="Times New Roman" w:eastAsia="宋体"/>
                <w:sz w:val="18"/>
              </w:rPr>
              <w:t>4,683,088.90</w:t>
            </w:r>
          </w:p>
        </w:tc>
        <w:tc>
          <w:tcPr>
            <w:tcW w:type="dxa" w:w="1769"/>
          </w:tcPr>
          <w:p>
            <w:pPr>
              <w:spacing w:line="240" w:lineRule="auto"/>
            </w:pPr>
            <w:r>
              <w:rPr>
                <w:rFonts w:ascii="Times New Roman" w:hAnsi="Times New Roman" w:eastAsia="宋体"/>
                <w:sz w:val="18"/>
              </w:rPr>
              <w:t>0.575257</w:t>
            </w:r>
          </w:p>
        </w:tc>
        <w:tc>
          <w:tcPr>
            <w:tcW w:type="dxa" w:w="1769"/>
          </w:tcPr>
          <w:p>
            <w:pPr>
              <w:spacing w:line="240" w:lineRule="auto"/>
            </w:pPr>
            <w:r>
              <w:rPr>
                <w:rFonts w:ascii="Times New Roman" w:hAnsi="Times New Roman" w:eastAsia="宋体"/>
                <w:sz w:val="18"/>
              </w:rPr>
              <w:t>10</w:t>
            </w:r>
          </w:p>
        </w:tc>
      </w:tr>
      <w:tr>
        <w:tc>
          <w:tcPr>
            <w:tcW w:type="dxa" w:w="1769"/>
          </w:tcPr>
          <w:p>
            <w:pPr>
              <w:spacing w:line="240" w:lineRule="auto"/>
            </w:pPr>
            <w:r>
              <w:rPr>
                <w:rFonts w:ascii="Times New Roman" w:hAnsi="Times New Roman" w:eastAsia="宋体"/>
                <w:sz w:val="18"/>
              </w:rPr>
              <w:t>取消参数布局增强</w:t>
            </w:r>
          </w:p>
        </w:tc>
        <w:tc>
          <w:tcPr>
            <w:tcW w:type="dxa" w:w="1769"/>
          </w:tcPr>
          <w:p>
            <w:pPr>
              <w:spacing w:line="240" w:lineRule="auto"/>
            </w:pPr>
            <w:r>
              <w:rPr>
                <w:rFonts w:ascii="Times New Roman" w:hAnsi="Times New Roman" w:eastAsia="宋体"/>
                <w:sz w:val="18"/>
              </w:rPr>
              <w:t>1,430,522,478.00</w:t>
            </w:r>
          </w:p>
        </w:tc>
        <w:tc>
          <w:tcPr>
            <w:tcW w:type="dxa" w:w="1769"/>
          </w:tcPr>
          <w:p>
            <w:pPr>
              <w:spacing w:line="240" w:lineRule="auto"/>
            </w:pPr>
            <w:r>
              <w:rPr>
                <w:rFonts w:ascii="Times New Roman" w:hAnsi="Times New Roman" w:eastAsia="宋体"/>
                <w:sz w:val="18"/>
              </w:rPr>
              <w:t>4,253,032.78</w:t>
            </w:r>
          </w:p>
        </w:tc>
        <w:tc>
          <w:tcPr>
            <w:tcW w:type="dxa" w:w="1769"/>
          </w:tcPr>
          <w:p>
            <w:pPr>
              <w:spacing w:line="240" w:lineRule="auto"/>
            </w:pPr>
            <w:r>
              <w:rPr>
                <w:rFonts w:ascii="Times New Roman" w:hAnsi="Times New Roman" w:eastAsia="宋体"/>
                <w:sz w:val="18"/>
              </w:rPr>
              <w:t>0.575257</w:t>
            </w:r>
          </w:p>
        </w:tc>
        <w:tc>
          <w:tcPr>
            <w:tcW w:type="dxa" w:w="1769"/>
          </w:tcPr>
          <w:p>
            <w:pPr>
              <w:spacing w:line="240" w:lineRule="auto"/>
            </w:pPr>
            <w:r>
              <w:rPr>
                <w:rFonts w:ascii="Times New Roman" w:hAnsi="Times New Roman" w:eastAsia="宋体"/>
                <w:sz w:val="18"/>
              </w:rPr>
              <w:t>10</w:t>
            </w:r>
          </w:p>
        </w:tc>
      </w:tr>
      <w:tr>
        <w:tc>
          <w:tcPr>
            <w:tcW w:type="dxa" w:w="1769"/>
          </w:tcPr>
          <w:p>
            <w:pPr>
              <w:spacing w:line="240" w:lineRule="auto"/>
            </w:pPr>
            <w:r>
              <w:rPr>
                <w:rFonts w:ascii="Times New Roman" w:hAnsi="Times New Roman" w:eastAsia="宋体"/>
                <w:sz w:val="18"/>
              </w:rPr>
              <w:t>取消政策投影</w:t>
            </w:r>
          </w:p>
        </w:tc>
        <w:tc>
          <w:tcPr>
            <w:tcW w:type="dxa" w:w="1769"/>
          </w:tcPr>
          <w:p>
            <w:pPr>
              <w:spacing w:line="240" w:lineRule="auto"/>
            </w:pPr>
            <w:r>
              <w:rPr>
                <w:rFonts w:ascii="Times New Roman" w:hAnsi="Times New Roman" w:eastAsia="宋体"/>
                <w:sz w:val="18"/>
              </w:rPr>
              <w:t>2,200,581,056.00</w:t>
            </w:r>
          </w:p>
        </w:tc>
        <w:tc>
          <w:tcPr>
            <w:tcW w:type="dxa" w:w="1769"/>
          </w:tcPr>
          <w:p>
            <w:pPr>
              <w:spacing w:line="240" w:lineRule="auto"/>
            </w:pPr>
            <w:r>
              <w:rPr>
                <w:rFonts w:ascii="Times New Roman" w:hAnsi="Times New Roman" w:eastAsia="宋体"/>
                <w:sz w:val="18"/>
              </w:rPr>
              <w:t>4,271,747.78</w:t>
            </w:r>
          </w:p>
        </w:tc>
        <w:tc>
          <w:tcPr>
            <w:tcW w:type="dxa" w:w="1769"/>
          </w:tcPr>
          <w:p>
            <w:pPr>
              <w:spacing w:line="240" w:lineRule="auto"/>
            </w:pPr>
            <w:r>
              <w:rPr>
                <w:rFonts w:ascii="Times New Roman" w:hAnsi="Times New Roman" w:eastAsia="宋体"/>
                <w:sz w:val="18"/>
              </w:rPr>
              <w:t>0.701137</w:t>
            </w:r>
          </w:p>
        </w:tc>
        <w:tc>
          <w:tcPr>
            <w:tcW w:type="dxa" w:w="1769"/>
          </w:tcPr>
          <w:p>
            <w:pPr>
              <w:spacing w:line="240" w:lineRule="auto"/>
            </w:pPr>
            <w:r>
              <w:rPr>
                <w:rFonts w:ascii="Times New Roman" w:hAnsi="Times New Roman" w:eastAsia="宋体"/>
                <w:sz w:val="18"/>
              </w:rPr>
              <w:t>0</w:t>
            </w:r>
          </w:p>
        </w:tc>
      </w:tr>
      <w:tr>
        <w:tc>
          <w:tcPr>
            <w:tcW w:type="dxa" w:w="1769"/>
          </w:tcPr>
          <w:p>
            <w:pPr>
              <w:spacing w:line="240" w:lineRule="auto"/>
            </w:pPr>
            <w:r>
              <w:rPr>
                <w:rFonts w:ascii="Times New Roman" w:hAnsi="Times New Roman" w:eastAsia="宋体"/>
                <w:sz w:val="18"/>
              </w:rPr>
              <w:t>取消状态增强</w:t>
            </w:r>
          </w:p>
        </w:tc>
        <w:tc>
          <w:tcPr>
            <w:tcW w:type="dxa" w:w="1769"/>
          </w:tcPr>
          <w:p>
            <w:pPr>
              <w:spacing w:line="240" w:lineRule="auto"/>
            </w:pPr>
            <w:r>
              <w:rPr>
                <w:rFonts w:ascii="Times New Roman" w:hAnsi="Times New Roman" w:eastAsia="宋体"/>
                <w:sz w:val="18"/>
              </w:rPr>
              <w:t>1,264,994,116.00</w:t>
            </w:r>
          </w:p>
        </w:tc>
        <w:tc>
          <w:tcPr>
            <w:tcW w:type="dxa" w:w="1769"/>
          </w:tcPr>
          <w:p>
            <w:pPr>
              <w:spacing w:line="240" w:lineRule="auto"/>
            </w:pPr>
            <w:r>
              <w:rPr>
                <w:rFonts w:ascii="Times New Roman" w:hAnsi="Times New Roman" w:eastAsia="宋体"/>
                <w:sz w:val="18"/>
              </w:rPr>
              <w:t>4,683,088.90</w:t>
            </w:r>
          </w:p>
        </w:tc>
        <w:tc>
          <w:tcPr>
            <w:tcW w:type="dxa" w:w="1769"/>
          </w:tcPr>
          <w:p>
            <w:pPr>
              <w:spacing w:line="240" w:lineRule="auto"/>
            </w:pPr>
            <w:r>
              <w:rPr>
                <w:rFonts w:ascii="Times New Roman" w:hAnsi="Times New Roman" w:eastAsia="宋体"/>
                <w:sz w:val="18"/>
              </w:rPr>
              <w:t>0.575257</w:t>
            </w:r>
          </w:p>
        </w:tc>
        <w:tc>
          <w:tcPr>
            <w:tcW w:type="dxa" w:w="1769"/>
          </w:tcPr>
          <w:p>
            <w:pPr>
              <w:spacing w:line="240" w:lineRule="auto"/>
            </w:pPr>
            <w:r>
              <w:rPr>
                <w:rFonts w:ascii="Times New Roman" w:hAnsi="Times New Roman" w:eastAsia="宋体"/>
                <w:sz w:val="18"/>
              </w:rPr>
              <w:t>10</w:t>
            </w:r>
          </w:p>
        </w:tc>
      </w:tr>
    </w:tbl>
    <w:p>
      <w:pPr>
        <w:spacing w:line="300" w:lineRule="auto"/>
        <w:ind w:firstLine="420"/>
      </w:pPr>
      <w:r>
        <w:t>取消政策投影情景的利润最高，同时套保误差升至 0.701137。该结果反映制度投影对策略收益形成实质约束，并对偏离现实制度口径的策略起到筛选作用。移除政策投影后的高收益缺少制度可执行性，适合作为制度约束压力的对照证据。</w:t>
      </w:r>
    </w:p>
    <w:p>
      <w:pPr>
        <w:spacing w:line="300" w:lineRule="auto"/>
        <w:ind w:firstLine="420"/>
      </w:pPr>
      <w:r>
        <w:t>稳健性检验通过合约比例偏移、预测误差缩放和政策截断日情景重算滚动测试窗口。结果显示，合约比例下调 10 个百分点时总收益为 2,015,351,104 元，上调 10 个百分点时总收益为 -436,104,195 元，说明当前样本下较低底仓在利润上更有利，但过度提高底仓比例会显著损害结果。预测误差放大到 1.20 倍时收益为 2,252,978,364 元，但平均 CVaR99 升至 5,261,120.55；预测误差缩小到 0.80 倍时收益为 -391,128,336 元。该结果表明，样本期收益对负荷偏差和价格结构高度敏感，单一情景结果不宜扩展为一般规律。</w:t>
      </w:r>
    </w:p>
    <w:p>
      <w:pPr>
        <w:spacing w:line="300" w:lineRule="auto"/>
        <w:ind w:firstLine="420"/>
      </w:pPr>
      <w:r>
        <w:rPr>
          <w:rFonts w:ascii="Times New Roman" w:hAnsi="Times New Roman" w:eastAsia="宋体"/>
          <w:sz w:val="22"/>
        </w:rPr>
        <w:t>政策截断情景中，以 2026 年 2 月 1 日作为截断日时，统计样本变为 7 周，总收益为 671,246,532 元，平均 CVaR99 为 3,205,584.33；以 2026 年 1 月 1 日作为截断日时，与基准情景一致。这表明政策生效时点会改变样本范围和指标表现，论文必须继续坚持按生效时间处理制度状态。</w:t>
      </w:r>
    </w:p>
    <w:p>
      <w:pPr>
        <w:pStyle w:val="Heading2"/>
      </w:pPr>
      <w:r>
        <w:t>5.6 政策约束激活及制度状态影响</w:t>
      </w:r>
    </w:p>
    <w:p>
      <w:pPr>
        <w:spacing w:line="300" w:lineRule="auto"/>
        <w:ind w:firstLine="420"/>
      </w:pPr>
      <w:r>
        <w:t>政策约束作为正式变量进入训练和回测。正式验证集四周均触发可行域，滚动回测 10 个测试周也均有可行域触发。2026 年 2 月以前，约束主要体现为辅助服务收紧；2026 年 2 月以后，中长期价格联动和新能源机制执行状态叠加进入可行域。该结果说明售电公司策略空间随制度时点变化而改变，整个样本期呈现分阶段制度环境。</w:t>
      </w:r>
    </w:p>
    <w:p>
      <w:pPr>
        <w:spacing w:line="300" w:lineRule="auto"/>
        <w:ind w:firstLine="420"/>
      </w:pPr>
      <w:r>
        <w:t>政策风险调整结果进一步支持这一判断。正式验证四周的政策风险调整后超额收益分别为 -253,496,599.95 元、-211,483,159.51 元、-124,436,710.26 元和 -189,816,308.89 元，均为负。该结果说明，加入政策风险惩罚后，主策略在验证集仍未形成正超额收益，模型效果存在限制；政策风险调整指标也体现出防止收益口径过度乐观的评价价值。</w:t>
      </w:r>
    </w:p>
    <w:p>
      <w:pPr>
        <w:pStyle w:val="Heading2"/>
      </w:pPr>
      <w:r>
        <w:rPr>
          <w:rFonts w:ascii="Times New Roman" w:hAnsi="Times New Roman" w:eastAsia="宋体"/>
          <w:sz w:val="28"/>
        </w:rPr>
        <w:t>5.7 小时级现货修正结果及机制解释</w:t>
      </w:r>
    </w:p>
    <w:p>
      <w:pPr>
        <w:spacing w:line="300" w:lineRule="auto"/>
        <w:ind w:firstLine="420"/>
      </w:pPr>
      <w:r>
        <w:rPr>
          <w:rFonts w:ascii="Times New Roman" w:hAnsi="Times New Roman" w:eastAsia="宋体"/>
          <w:sz w:val="22"/>
        </w:rPr>
        <w:t>方法章已经说明，小时级现货修正机制包含价差信号、负荷偏差信号、新能源扰动、门控函数、风险带宽、小时份额上限和爬坡约束。然而正式滚动结果中，1632 条小时记录的现货净修正量均为 0。验证集平均现货净修正量为 0 也与此一致。</w:t>
      </w:r>
    </w:p>
    <w:p>
      <w:pPr>
        <w:spacing w:line="300" w:lineRule="auto"/>
        <w:ind w:firstLine="420"/>
      </w:pPr>
      <w:r>
        <w:t>这一现象可以从三个方面解释。第一，小时级门控要求信号超过死区后才触发交易，弱信号难以形成修正。第二，辅助服务收紧和政策可行域压缩了小时级带宽，许多潜在动作即使有方向，也可能被投影到很小或零。第三，训练奖励对交易摩擦和尾部风险设置惩罚，当前参数组合可能认为保持头寸稳定优于在不确定信号下交易。因此，小时级现货修正可以表述为“已设置但本轮未激活”的机制，当前结果尚未显示其对收益的显著贡献。</w:t>
      </w:r>
    </w:p>
    <w:p>
      <w:pPr>
        <w:spacing w:line="300" w:lineRule="auto"/>
        <w:ind w:firstLine="420"/>
      </w:pPr>
      <w:r>
        <w:t>小时级修正未触发的结果说明，在强约束、短样本和交易摩擦存在的条件下，现货边际修正需要足够强的信号和合理的带宽才能产生作用。后续模型改进可重点检查小时信号标准化、门控死区、带宽下限、交易摩擦权重和下层参数搜索，使现货修正机制与实际价差信号更加匹配。</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第六章 研究结论与建议</w:t>
      </w:r>
    </w:p>
    <w:p>
      <w:pPr>
        <w:pStyle w:val="Heading2"/>
      </w:pPr>
      <w:r>
        <w:rPr>
          <w:rFonts w:ascii="Times New Roman" w:hAnsi="Times New Roman" w:eastAsia="宋体"/>
          <w:sz w:val="28"/>
        </w:rPr>
        <w:t>6.1 研究结论</w:t>
      </w:r>
    </w:p>
    <w:p>
      <w:pPr>
        <w:spacing w:line="300" w:lineRule="auto"/>
        <w:ind w:firstLine="420"/>
      </w:pPr>
      <w:r>
        <w:rPr>
          <w:rFonts w:ascii="Times New Roman" w:hAnsi="Times New Roman" w:eastAsia="宋体"/>
          <w:sz w:val="22"/>
        </w:rPr>
        <w:t>本文围绕湖南电力市场售电公司在 2025 年 11 月 1 日至 2026 年 3 月 20 日期间的采购策略问题，构建了“周度中长期底仓决策、小时级现货边际风险对冲、15 分钟代理结算回测”的多时间尺度框架。结合正式实验结果，可以得到三点结论。</w:t>
      </w:r>
    </w:p>
    <w:p>
      <w:pPr>
        <w:spacing w:line="300" w:lineRule="auto"/>
        <w:ind w:firstLine="420"/>
      </w:pPr>
      <w:r>
        <w:t>第一，政策规则可以转化为可计算、可审计的制度状态和可行域参数。本文整理 18 个政策来源文件，形成 36 条结构化规则且解析失败数为 0；新能源机制电价自 2026 年 1 月 1 日进入模型，中长期价格联动自 2026 年 2 月 1 日进入结算口径。正式验证和滚动回测中可行域均有触发，说明制度状态对售电公司策略空间具有实质影响。</w:t>
      </w:r>
    </w:p>
    <w:p>
      <w:pPr>
        <w:spacing w:line="300" w:lineRule="auto"/>
        <w:ind w:firstLine="420"/>
      </w:pPr>
      <w:r>
        <w:rPr>
          <w:rFonts w:ascii="Times New Roman" w:hAnsi="Times New Roman" w:eastAsia="宋体"/>
          <w:sz w:val="22"/>
        </w:rPr>
        <w:t>第二，多时间尺度框架能够把售电公司采购问题拆解为更接近经营实践的链条。周度层决定中长期底仓和风险预算，小时层提供现货边际修正通道，15 分钟层用于计算采购成本、利润、CVaR99 和套保误差。该框架使中长期合约、现货价格、负荷偏差和政策约束能够在同一个评价口径下比较。</w:t>
      </w:r>
    </w:p>
    <w:p>
      <w:pPr>
        <w:spacing w:line="300" w:lineRule="auto"/>
        <w:ind w:firstLine="420"/>
      </w:pPr>
      <w:r>
        <w:rPr>
          <w:rFonts w:ascii="Times New Roman" w:hAnsi="Times New Roman" w:eastAsia="宋体"/>
          <w:sz w:val="22"/>
        </w:rPr>
        <w:t>第三，本文策略效果需要审慎评价。正式验证集累计收益为 -55,879,040 元，四个验证周相对强基准的超额收益均为负；滚动回测平均收益为 126,499,411.60 元，但未形成持续跑赢动态锁仓强基准的结果；持出基准比较中，静态无现货修正和简单滚动对冲在利润口径上高于动态锁仓强基准。这些结果说明，当前模型完成了制度约束建模和多时间尺度回测闭环，但在强基准收益改善、小时级现货修正激活和风险收益权衡方面仍有改进空间。</w:t>
      </w:r>
    </w:p>
    <w:p>
      <w:pPr>
        <w:pStyle w:val="Heading2"/>
      </w:pPr>
      <w:r>
        <w:rPr>
          <w:rFonts w:ascii="Times New Roman" w:hAnsi="Times New Roman" w:eastAsia="宋体"/>
          <w:sz w:val="28"/>
        </w:rPr>
        <w:t>6.2 管理启示与风险控制建议</w:t>
      </w:r>
    </w:p>
    <w:p>
      <w:pPr>
        <w:spacing w:line="300" w:lineRule="auto"/>
        <w:ind w:firstLine="420"/>
      </w:pPr>
      <w:r>
        <w:t>对售电公司而言，第一项启示是中长期底仓应被视为风险预算工具。当前样本中，较低底仓在若干情景下改善收益，但提高底仓比例会显著损害结果。这说明售电公司需要结合市场阶段、负荷预测偏差和价格联动机制动态校准合同覆盖率，固定比例经验难以覆盖不同市场阶段下的风险差异。</w:t>
      </w:r>
    </w:p>
    <w:p>
      <w:pPr>
        <w:spacing w:line="300" w:lineRule="auto"/>
        <w:ind w:firstLine="420"/>
      </w:pPr>
      <w:r>
        <w:t>第二项启示是制度时点监测应进入交易决策流程。新能源机制电价、中长期价格联动和辅助服务耦合状态会改变策略可行域。售电公司在制定采购方案时，应建立政策生效时间、适用范围和结算口径的内部台账，把制度变化转化为交易上限、风险带宽和评价口径，并将其用于事前交易约束和事后收益解释。</w:t>
      </w:r>
    </w:p>
    <w:p>
      <w:pPr>
        <w:spacing w:line="300" w:lineRule="auto"/>
        <w:ind w:firstLine="420"/>
      </w:pPr>
      <w:r>
        <w:t>第三项启示是现货边际修正需要接受交易摩擦和信号强度约束。当前小时级机制未产生实际净修正，说明在短样本和强约束下，频繁交易可能难以覆盖成本。售电公司引入小时级对冲时，可以先检验价差信号是否足以覆盖摩擦成本、负荷预测误差和制度收缩风险，再决定是否扩大现货交易带宽。</w:t>
      </w:r>
    </w:p>
    <w:p>
      <w:pPr>
        <w:spacing w:line="300" w:lineRule="auto"/>
        <w:ind w:firstLine="420"/>
      </w:pPr>
      <w:r>
        <w:t>第四项启示是强基准比较可以成为策略评价常规。动态锁仓强基准、静态无现货修正和简单滚动对冲在当前结果中表现出较强竞争力。售电公司内部评估算法策略时，可以保留简单、透明、可复现的规则基准，降低复杂模型带来的解释成本和执行风险。</w:t>
      </w:r>
    </w:p>
    <w:p>
      <w:pPr>
        <w:pStyle w:val="Heading2"/>
      </w:pPr>
      <w:r>
        <w:rPr>
          <w:rFonts w:ascii="Times New Roman" w:hAnsi="Times New Roman" w:eastAsia="宋体"/>
          <w:sz w:val="28"/>
        </w:rPr>
        <w:t>6.3 研究不足与展望</w:t>
      </w:r>
    </w:p>
    <w:p>
      <w:pPr>
        <w:spacing w:line="300" w:lineRule="auto"/>
        <w:ind w:firstLine="420"/>
      </w:pPr>
      <w:r>
        <w:rPr>
          <w:rFonts w:ascii="Times New Roman" w:hAnsi="Times New Roman" w:eastAsia="宋体"/>
          <w:sz w:val="22"/>
        </w:rPr>
        <w:t>本文仍存在三个不足。第一，样本期较短，研究窗口集中于 2025 年 11 月至 2026 年 3 月，滚动测试窗口为单周样本，部分超额收益指标只能作为附录口径解释。后续可在不混用政策时点的前提下，扩展更多正式运行样本。</w:t>
      </w:r>
    </w:p>
    <w:p>
      <w:pPr>
        <w:spacing w:line="300" w:lineRule="auto"/>
        <w:ind w:firstLine="420"/>
      </w:pPr>
      <w:r>
        <w:rPr>
          <w:rFonts w:ascii="Times New Roman" w:hAnsi="Times New Roman" w:eastAsia="宋体"/>
          <w:sz w:val="22"/>
        </w:rPr>
        <w:t>第二，小时级现货修正通道尚未在当前正式结果中激活。后续研究可围绕小时信号标准化、门控死区、风险带宽、交易摩擦权重和下层参数搜索开展实验，检验非零现货修正是否能在不显著恶化尾部风险的情况下改善强基准比较。</w:t>
      </w:r>
    </w:p>
    <w:p>
      <w:pPr>
        <w:spacing w:line="300" w:lineRule="auto"/>
        <w:ind w:firstLine="420"/>
      </w:pPr>
      <w:r>
        <w:t>第三，本文主要使用代理结算口径，零售侧收入以外生电价处理。未来若有更完整的零售套餐、用户响应和实际结算数据，可以进一步细化收益端模型；当前论文以采购侧和风险管理主线为主要解释对象。</w:t>
      </w:r>
    </w:p>
    <w:p>
      <w:pPr>
        <w:spacing w:line="300" w:lineRule="auto"/>
        <w:ind w:firstLine="420"/>
      </w:pPr>
      <w:r>
        <w:t>总体而言，本文的主要贡献在于建立了一个制度一致性和多时间尺度采购策略框架。当前结果尚未支持“主策略全面优于强基准”的结论，同时清楚揭示了政策可行域、强基准和小时级交易门控对售电公司策略评价的重要性。这一发现对售电公司采购策略建模具有现实解释价值，也为后续继续优化模型提供了明确方向。</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政策资料说明</w:t>
      </w:r>
    </w:p>
    <w:p>
      <w:pPr>
        <w:spacing w:line="300" w:lineRule="auto"/>
        <w:ind w:firstLine="420"/>
      </w:pPr>
      <w:r>
        <w:t>本文政策材料来自研究期内湖南电力市场相关制度文件，主要包括湖南省电力中长期实施细则、湖南省电力现货市场交易实施细则、湖南省电力零售市场交易规则、湖南省电力市场计量实施规则、关于进一步加强湖南电力辅助服务市场建设有关事项的通知、湖南省深化新能源上网电价市场化改革促进新能源高质量发展实施方案、湖南省新能源机制电价竞价实施细则、关于 2025 年度新能源机制电价竞价工作有关事项的通知、关于完善 2026 年度电力中长期交易价格机制的通知等。政策文件承担制度时点、结算口径、状态变量和可行域说明功能，学术文献编号以下列参考文献为准。</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参考文献</w:t>
      </w:r>
    </w:p>
    <w:p>
      <w:pPr>
        <w:spacing w:line="276" w:lineRule="auto"/>
      </w:pPr>
      <w:r>
        <w:rPr>
          <w:rFonts w:ascii="Times New Roman" w:hAnsi="Times New Roman" w:eastAsia="宋体"/>
          <w:sz w:val="22"/>
        </w:rPr>
        <w:t>[1] 骆子雅, 季天瑶, 荆朝霞, 等. 电力差价合约机制设计与应用[J]. 电网技术, 2019, 43(8): 2743-2751.</w:t>
      </w:r>
    </w:p>
    <w:p>
      <w:pPr>
        <w:spacing w:line="276" w:lineRule="auto"/>
      </w:pPr>
      <w:r>
        <w:rPr>
          <w:rFonts w:ascii="Times New Roman" w:hAnsi="Times New Roman" w:eastAsia="宋体"/>
          <w:sz w:val="22"/>
        </w:rPr>
        <w:t>[2] 杨甲甲, 赵俊华, 文福拴, 等. 电力零售核心业务架构与购售电决策[J]. 电力系统自动化, 2017, 41(14): 10-18.</w:t>
      </w:r>
    </w:p>
    <w:p>
      <w:pPr>
        <w:spacing w:line="276" w:lineRule="auto"/>
      </w:pPr>
      <w:r>
        <w:rPr>
          <w:rFonts w:ascii="Times New Roman" w:hAnsi="Times New Roman" w:eastAsia="宋体"/>
          <w:sz w:val="22"/>
        </w:rPr>
        <w:t>[3] 尚楠, 陈政, 卢治霖, 等. 电力市场、碳市场及绿证市场互动机理及协调机制[J]. 电网技术, 2023, 47(1): 142-154.</w:t>
      </w:r>
    </w:p>
    <w:p>
      <w:pPr>
        <w:spacing w:line="276" w:lineRule="auto"/>
      </w:pPr>
      <w:r>
        <w:rPr>
          <w:rFonts w:ascii="Times New Roman" w:hAnsi="Times New Roman" w:eastAsia="宋体"/>
          <w:sz w:val="22"/>
        </w:rPr>
        <w:t>[4] 李道强, 龚建荣, 李忠憓, 等. 电力市场环境下的差价合约电量分解问题[J]. 电力科学与技术学报, 2020, 35(1): 40-49.</w:t>
      </w:r>
    </w:p>
    <w:p>
      <w:pPr>
        <w:spacing w:line="276" w:lineRule="auto"/>
      </w:pPr>
      <w:r>
        <w:rPr>
          <w:rFonts w:ascii="Times New Roman" w:hAnsi="Times New Roman" w:eastAsia="宋体"/>
          <w:sz w:val="22"/>
        </w:rPr>
        <w:t>[5] 樊宇琦, 丁涛, 孙瑜歌, 等. 国内外促进可再生能源消纳的电力现货市场发展综述与思考[J]. 中国电机工程学报, 2021, 41(5): 1729-1752.</w:t>
      </w:r>
    </w:p>
    <w:p>
      <w:pPr>
        <w:spacing w:line="276" w:lineRule="auto"/>
      </w:pPr>
      <w:r>
        <w:rPr>
          <w:rFonts w:ascii="Times New Roman" w:hAnsi="Times New Roman" w:eastAsia="宋体"/>
          <w:sz w:val="22"/>
        </w:rPr>
        <w:t>[6] 周明, 严宇, 丁琪, 等. 国外典型电力市场交易结算机制及对中国的启示[J]. 电力系统自动化, 2017, 41(20): 1-8.</w:t>
      </w:r>
    </w:p>
    <w:p>
      <w:pPr>
        <w:spacing w:line="276" w:lineRule="auto"/>
      </w:pPr>
      <w:r>
        <w:rPr>
          <w:rFonts w:ascii="Times New Roman" w:hAnsi="Times New Roman" w:eastAsia="宋体"/>
          <w:sz w:val="22"/>
        </w:rPr>
        <w:t>[7] 邹鹏, 陈启鑫, 夏清, 等. 国外电力现货市场建设的逻辑分析及对中国的启示与建议[J]. 电力系统自动化, 2014, 38(13): 18-27.</w:t>
      </w:r>
    </w:p>
    <w:p>
      <w:pPr>
        <w:spacing w:line="276" w:lineRule="auto"/>
      </w:pPr>
      <w:r>
        <w:rPr>
          <w:rFonts w:ascii="Times New Roman" w:hAnsi="Times New Roman" w:eastAsia="宋体"/>
          <w:sz w:val="22"/>
        </w:rPr>
        <w:t>[8] 杨萌, 艾欣, 唐亮, 等. 计及风险规避的售电公司平衡市场优化交易策略研究[J]. 电网技术, 2016, 40(11): 3300-3309.</w:t>
      </w:r>
    </w:p>
    <w:p>
      <w:pPr>
        <w:spacing w:line="276" w:lineRule="auto"/>
      </w:pPr>
      <w:r>
        <w:rPr>
          <w:rFonts w:ascii="Times New Roman" w:hAnsi="Times New Roman" w:eastAsia="宋体"/>
          <w:sz w:val="22"/>
        </w:rPr>
        <w:t>[9] 任艺, 周明, 李庚银. 考虑用户需求响应的售电公司购售电决策双层模型[J]. 电力系统自动化, 2017, 41(14): 30-36.</w:t>
      </w:r>
    </w:p>
    <w:p>
      <w:pPr>
        <w:spacing w:line="276" w:lineRule="auto"/>
      </w:pPr>
      <w:r>
        <w:rPr>
          <w:rFonts w:ascii="Times New Roman" w:hAnsi="Times New Roman" w:eastAsia="宋体"/>
          <w:sz w:val="22"/>
        </w:rPr>
        <w:t>[10] 彭一海, 刘继春, 刘俊勇. 两级电力市场环境下考虑多类型零售套餐的售电公司购售电策略[J]. 电网技术, 2022, 46(3): 944-955,中插6-中插7.</w:t>
      </w:r>
    </w:p>
    <w:p>
      <w:pPr>
        <w:spacing w:line="276" w:lineRule="auto"/>
      </w:pPr>
      <w:r>
        <w:rPr>
          <w:rFonts w:ascii="Times New Roman" w:hAnsi="Times New Roman" w:eastAsia="宋体"/>
          <w:sz w:val="22"/>
        </w:rPr>
        <w:t>[11] 肖云鹏, 王锡凡, 王秀丽, 等. 面向高比例可再生能源的电力市场研究综述[J]. 中国电机工程学报, 2018, 38(3): 663-674.</w:t>
      </w:r>
    </w:p>
    <w:p>
      <w:pPr>
        <w:spacing w:line="276" w:lineRule="auto"/>
      </w:pPr>
      <w:r>
        <w:rPr>
          <w:rFonts w:ascii="Times New Roman" w:hAnsi="Times New Roman" w:eastAsia="宋体"/>
          <w:sz w:val="22"/>
        </w:rPr>
        <w:t>[12] 马辉, 陈雨果, 陈晔, 等. 南方(以广东起步)电力现货市场机制设计[J]. 南方电网技术, 2018, 12(12): 42-48.</w:t>
      </w:r>
    </w:p>
    <w:p>
      <w:pPr>
        <w:spacing w:line="276" w:lineRule="auto"/>
      </w:pPr>
      <w:r>
        <w:rPr>
          <w:rFonts w:ascii="Times New Roman" w:hAnsi="Times New Roman" w:eastAsia="宋体"/>
          <w:sz w:val="22"/>
        </w:rPr>
        <w:t>[13] 王小昂, 邹鹏, 任远, 等. 山西电力现货市场中长期与现货衔接问题及对策[J]. 电网技术, 2022, 46(1): 20-27.</w:t>
      </w:r>
    </w:p>
    <w:p>
      <w:pPr>
        <w:spacing w:line="276" w:lineRule="auto"/>
      </w:pPr>
      <w:r>
        <w:rPr>
          <w:rFonts w:ascii="Times New Roman" w:hAnsi="Times New Roman" w:eastAsia="宋体"/>
          <w:sz w:val="22"/>
        </w:rPr>
        <w:t>[14] 王林炎, 张粒子, 张凡, 等. 售电公司购售电业务决策与风险评估[J]. 电力系统自动化, 2018, 42(1): 47-54.</w:t>
      </w:r>
    </w:p>
    <w:p>
      <w:pPr>
        <w:spacing w:line="276" w:lineRule="auto"/>
      </w:pPr>
      <w:r>
        <w:rPr>
          <w:rFonts w:ascii="Times New Roman" w:hAnsi="Times New Roman" w:eastAsia="宋体"/>
          <w:sz w:val="22"/>
        </w:rPr>
        <w:t>[15] 罗舒瀚, 蒋传文, 王旭, 等. 新电改背景下售电公司的购售电策略及风险评估[J]. 电网技术, 2019, 43(3): 944-953.</w:t>
      </w:r>
    </w:p>
    <w:p>
      <w:pPr>
        <w:spacing w:line="276" w:lineRule="auto"/>
      </w:pPr>
      <w:r>
        <w:rPr>
          <w:rFonts w:ascii="Times New Roman" w:hAnsi="Times New Roman" w:eastAsia="宋体"/>
          <w:sz w:val="22"/>
        </w:rPr>
        <w:t>[16] 胡晨, 杜松怀, 苏娟, 等. 新电改背景下我国售电公司的购售电途径与经营模式探讨[J]. 电网技术, 2016, 40(11): 3293-3299.</w:t>
      </w:r>
    </w:p>
    <w:p>
      <w:pPr>
        <w:spacing w:line="276" w:lineRule="auto"/>
      </w:pPr>
      <w:r>
        <w:rPr>
          <w:rFonts w:ascii="Times New Roman" w:hAnsi="Times New Roman" w:eastAsia="宋体"/>
          <w:sz w:val="22"/>
        </w:rPr>
        <w:t>[17] 宋永华, 包铭磊, 丁一, 等. 新电改下我国电力现货市场建设关键要点综述及相关建议[J]. 中国电机工程学报, 2020, 40(10): 3172-3187.</w:t>
      </w:r>
    </w:p>
    <w:p>
      <w:pPr>
        <w:spacing w:line="276" w:lineRule="auto"/>
      </w:pPr>
      <w:r>
        <w:rPr>
          <w:rFonts w:ascii="Times New Roman" w:hAnsi="Times New Roman" w:eastAsia="宋体"/>
          <w:sz w:val="22"/>
        </w:rPr>
        <w:t>[18] 王彩霞, 时智勇, 梁志峰, 等. 新能源为主体电力系统的需求侧资源利用关键技术及展望[J]. 电力系统自动化, 2021, 45(16): 37-48.</w:t>
      </w:r>
    </w:p>
    <w:p>
      <w:pPr>
        <w:spacing w:line="276" w:lineRule="auto"/>
      </w:pPr>
      <w:r>
        <w:rPr>
          <w:rFonts w:ascii="Times New Roman" w:hAnsi="Times New Roman" w:eastAsia="宋体"/>
          <w:sz w:val="22"/>
        </w:rPr>
        <w:t>[19] 张钦, 王锡凡, 王建学. 需求侧实时电价下供电商购售电风险决策[J]. 电力系统自动化, 2010, 34(3): 22-27.</w:t>
      </w:r>
    </w:p>
    <w:p>
      <w:pPr>
        <w:spacing w:line="276" w:lineRule="auto"/>
      </w:pPr>
      <w:r>
        <w:rPr>
          <w:rFonts w:ascii="Times New Roman" w:hAnsi="Times New Roman" w:eastAsia="宋体"/>
          <w:sz w:val="22"/>
        </w:rPr>
        <w:t>[20] 方宇娟, 杨汶瑾, 李姚旺, 等. 中国绿电交易市场机制研究综述及发展展望[J/OL]. 电力系统自动化, 2025. https://kns.cnki.net/KCMS/detail/detail.aspx?dbcode=CAPJ&amp;dbname=CAPJLAST&amp;filename=DLXT20250925001.</w:t>
      </w:r>
    </w:p>
    <w:p>
      <w:pPr>
        <w:spacing w:line="276" w:lineRule="auto"/>
      </w:pPr>
      <w:r>
        <w:rPr>
          <w:rFonts w:ascii="Times New Roman" w:hAnsi="Times New Roman" w:eastAsia="宋体"/>
          <w:sz w:val="22"/>
        </w:rPr>
        <w:t>[21] Deb K. An efficient constraint handling method for genetic algorithms[J]. Computer Methods in Applied Mechanics and Engineering, 2000, 186(2-4): 311-338.</w:t>
      </w:r>
    </w:p>
    <w:p>
      <w:pPr>
        <w:spacing w:line="276" w:lineRule="auto"/>
      </w:pPr>
      <w:r>
        <w:rPr>
          <w:rFonts w:ascii="Times New Roman" w:hAnsi="Times New Roman" w:eastAsia="宋体"/>
          <w:sz w:val="22"/>
        </w:rPr>
        <w:t>[22] Artzner P, Delbaen F, Eber J M, et al. COHERENT MEASURES OF RISK[J]. Mathematical Finance, 1999, 9(3): 203-228.</w:t>
      </w:r>
    </w:p>
    <w:p>
      <w:pPr>
        <w:spacing w:line="276" w:lineRule="auto"/>
      </w:pPr>
      <w:r>
        <w:rPr>
          <w:rFonts w:ascii="Times New Roman" w:hAnsi="Times New Roman" w:eastAsia="宋体"/>
          <w:sz w:val="22"/>
        </w:rPr>
        <w:t>[23] Boroumand R H, Goutte S, Porcher S, et al. Hedging strategies in energy markets: The case of electricity retailers[J]. Energy Economics, 2015, 51: 503-509.</w:t>
      </w:r>
    </w:p>
    <w:p>
      <w:pPr>
        <w:spacing w:line="276" w:lineRule="auto"/>
      </w:pPr>
      <w:r>
        <w:rPr>
          <w:rFonts w:ascii="Times New Roman" w:hAnsi="Times New Roman" w:eastAsia="宋体"/>
          <w:sz w:val="22"/>
        </w:rPr>
        <w:t>[24] Rockafellar R T, Uryasev S. Optimization of conditional value-at-risk[J]. The Journal of Risk, 2000, 2(3): 21-41.</w:t>
      </w:r>
    </w:p>
    <w:p>
      <w:pPr>
        <w:spacing w:line="276" w:lineRule="auto"/>
      </w:pPr>
      <w:r>
        <w:rPr>
          <w:rFonts w:ascii="Times New Roman" w:hAnsi="Times New Roman" w:eastAsia="宋体"/>
          <w:sz w:val="22"/>
        </w:rPr>
        <w:t>[25] Kettunen J, Salo A, Bunn D W. Optimization of Electricity Retailer’s Contract Portfolio Subject to Risk Preferences[J]. IEEE Transactions on Power Systems, 2010, 25(1): 117-128.</w:t>
      </w:r>
    </w:p>
    <w:p>
      <w:pPr>
        <w:spacing w:line="276" w:lineRule="auto"/>
      </w:pPr>
      <w:r>
        <w:rPr>
          <w:rFonts w:ascii="Times New Roman" w:hAnsi="Times New Roman" w:eastAsia="宋体"/>
          <w:sz w:val="22"/>
        </w:rPr>
        <w:t>[26] Poli R, Kennedy J, Blackwell T. Particle swarm optimization: An overview[J]. Swarm Intelligence, 2007, 1(1): 33-57.</w:t>
      </w:r>
    </w:p>
    <w:p>
      <w:pPr>
        <w:spacing w:line="276" w:lineRule="auto"/>
      </w:pPr>
      <w:r>
        <w:rPr>
          <w:rFonts w:ascii="Times New Roman" w:hAnsi="Times New Roman" w:eastAsia="宋体"/>
          <w:sz w:val="22"/>
        </w:rPr>
        <w:t>[27] Del Valle Y, Venayagamoorthy G K, Mohagheghi S, et al. Particle Swarm Optimization: Basic Concepts, Variants and Applications in Power Systems[J]. IEEE Transactions on Evolutionary Computation, 2008, 12(2): 171-195.</w:t>
      </w:r>
    </w:p>
    <w:p>
      <w:pPr>
        <w:spacing w:line="276" w:lineRule="auto"/>
      </w:pPr>
      <w:r>
        <w:rPr>
          <w:rFonts w:ascii="Times New Roman" w:hAnsi="Times New Roman" w:eastAsia="宋体"/>
          <w:sz w:val="22"/>
        </w:rPr>
        <w:t>[28] Xu J, Luh P B, White F B, et al. Power Portfolio Optimization in Deregulated Electricity Markets With Risk Management[J]. IEEE Transactions on Power Systems, 2006, 21(4): 1653-1662.</w:t>
      </w:r>
    </w:p>
    <w:p>
      <w:pPr>
        <w:spacing w:line="276" w:lineRule="auto"/>
      </w:pPr>
      <w:r>
        <w:rPr>
          <w:rFonts w:ascii="Times New Roman" w:hAnsi="Times New Roman" w:eastAsia="宋体"/>
          <w:sz w:val="22"/>
        </w:rPr>
        <w:t>[29] Bao M. Risk assessment and management of electricity markets: A review with suggestions[J/OL]. CSEE Journal of Power and Energy Systems, 2021. DOI:10.17775/CSEEJPES.2020.04250.</w:t>
      </w:r>
    </w:p>
    <w:p>
      <w:pPr>
        <w:spacing w:line="276" w:lineRule="auto"/>
      </w:pPr>
      <w:r>
        <w:rPr>
          <w:rFonts w:ascii="Times New Roman" w:hAnsi="Times New Roman" w:eastAsia="宋体"/>
          <w:sz w:val="22"/>
        </w:rPr>
        <w:t>[30] Clerc M, Kennedy J. The particle swarm - explosion, stability, and convergence in a multidimensional complex space[J]. IEEE Transactions on Evolutionary Computation, 2002, 6(1): 58-73.</w:t>
      </w:r>
    </w:p>
    <w:p>
      <w:pPr>
        <w:spacing w:line="276" w:lineRule="auto"/>
      </w:pPr>
      <w:r>
        <w:rPr>
          <w:rFonts w:ascii="Times New Roman" w:hAnsi="Times New Roman" w:eastAsia="宋体"/>
          <w:sz w:val="22"/>
        </w:rPr>
        <w:t>[31] Coello Coello C A. Theoretical and numerical constraint-handling techniques used with evolutionary algorithms: a survey of the state of the art[J]. Computer Methods in Applied Mechanics and Engineering, 2002, 191(11-12): 1245-1287.</w:t>
      </w:r>
    </w:p>
    <w:sectPr w:rsidR="00FC693F" w:rsidRPr="0006063C" w:rsidSect="00034616">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湖南电力市场售电公司多时间尺度采购策略优化研究</dc:title>
  <dc:subject>本科毕业论文正式论文稿</dc:subject>
  <dc:creator>python-docx</dc:creator>
  <cp:keywords/>
  <dc:description>Economics-oriented thesis draft with project paths and internal version details removed from body text.</dc:description>
  <cp:lastModifiedBy/>
  <cp:revision>1</cp:revision>
  <dcterms:created xsi:type="dcterms:W3CDTF">2013-12-23T23:15:00Z</dcterms:created>
  <dcterms:modified xsi:type="dcterms:W3CDTF">2013-12-23T23:15:00Z</dcterms:modified>
  <cp:category/>
</cp:coreProperties>
</file>