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E116AF" w14:textId="77777777" w:rsidR="00295573" w:rsidRDefault="00000000">
      <w:pPr>
        <w:pStyle w:val="FirstParagraph"/>
      </w:pPr>
      <w:bookmarkStart w:id="0" w:name="第一章第二章重写报告"/>
      <w:bookmarkStart w:id="1" w:name="content"/>
      <w:bookmarkStart w:id="2" w:name="完整正文"/>
      <w:r>
        <w:rPr>
          <w:rFonts w:hint="eastAsia"/>
        </w:rPr>
        <w:t>第一章</w:t>
      </w:r>
      <w:r>
        <w:t xml:space="preserve"> </w:t>
      </w:r>
      <w:r>
        <w:rPr>
          <w:rFonts w:hint="eastAsia"/>
        </w:rPr>
        <w:t>绪论</w:t>
      </w:r>
    </w:p>
    <w:p w14:paraId="62303CF2" w14:textId="77777777" w:rsidR="00295573" w:rsidRDefault="00000000">
      <w:pPr>
        <w:pStyle w:val="a0"/>
      </w:pPr>
      <w:r>
        <w:t xml:space="preserve">1.1 </w:t>
      </w:r>
      <w:r>
        <w:rPr>
          <w:rFonts w:hint="eastAsia"/>
        </w:rPr>
        <w:t>研究背景与问题提出</w:t>
      </w:r>
    </w:p>
    <w:p w14:paraId="6F9EF60A" w14:textId="77777777" w:rsidR="00295573" w:rsidRDefault="00000000">
      <w:pPr>
        <w:pStyle w:val="a0"/>
      </w:pPr>
      <w:r>
        <w:rPr>
          <w:rFonts w:hint="eastAsia"/>
        </w:rPr>
        <w:t>在能源转型与电力市场化改革持续推进的背景下，现货市场被普遍视为连接中长期交易与实时运行的关键环节，既承担价格发现功能，也承担把系统运行约束转化为市场信号的任务。</w:t>
      </w:r>
      <w:r>
        <w:rPr>
          <w:rFonts w:hint="eastAsia"/>
        </w:rPr>
        <w:t>[9][11][22]</w:t>
      </w:r>
      <w:r>
        <w:t xml:space="preserve"> </w:t>
      </w:r>
      <w:r>
        <w:rPr>
          <w:rFonts w:hint="eastAsia"/>
        </w:rPr>
        <w:t>对售电公司而言，这意味着批发侧购电决策不再只是年度或月度电量配置问题，而是在中长期合同、现货价格、负荷偏差和结算口径共同作用下的动态头寸管理问题。已有研究普遍认为，中长期合约，尤其是差价合约，本质上是用于锁定价格、平滑成本和对冲现货波动的结算性金融工具，而不是物理执行计划。</w:t>
      </w:r>
      <w:r>
        <w:rPr>
          <w:rFonts w:hint="eastAsia"/>
        </w:rPr>
        <w:t>[1][4]</w:t>
      </w:r>
    </w:p>
    <w:p w14:paraId="4051CD93" w14:textId="77777777" w:rsidR="00295573" w:rsidRDefault="00000000">
      <w:pPr>
        <w:pStyle w:val="a0"/>
      </w:pPr>
      <w:r>
        <w:rPr>
          <w:rFonts w:hint="eastAsia"/>
        </w:rPr>
        <w:t>本文将研究窗口限定为</w:t>
      </w:r>
      <w:r>
        <w:rPr>
          <w:rFonts w:hint="eastAsia"/>
        </w:rPr>
        <w:t>2025</w:t>
      </w:r>
      <w:r>
        <w:rPr>
          <w:rFonts w:hint="eastAsia"/>
        </w:rPr>
        <w:t>年</w:t>
      </w:r>
      <w:r>
        <w:rPr>
          <w:rFonts w:hint="eastAsia"/>
        </w:rPr>
        <w:t>11</w:t>
      </w:r>
      <w:r>
        <w:rPr>
          <w:rFonts w:hint="eastAsia"/>
        </w:rPr>
        <w:t>月</w:t>
      </w:r>
      <w:r>
        <w:rPr>
          <w:rFonts w:hint="eastAsia"/>
        </w:rPr>
        <w:t>1</w:t>
      </w:r>
      <w:r>
        <w:rPr>
          <w:rFonts w:hint="eastAsia"/>
        </w:rPr>
        <w:t>日至</w:t>
      </w:r>
      <w:r>
        <w:rPr>
          <w:rFonts w:hint="eastAsia"/>
        </w:rPr>
        <w:t>2026</w:t>
      </w:r>
      <w:r>
        <w:rPr>
          <w:rFonts w:hint="eastAsia"/>
        </w:rPr>
        <w:t>年</w:t>
      </w:r>
      <w:r>
        <w:rPr>
          <w:rFonts w:hint="eastAsia"/>
        </w:rPr>
        <w:t>3</w:t>
      </w:r>
      <w:r>
        <w:rPr>
          <w:rFonts w:hint="eastAsia"/>
        </w:rPr>
        <w:t>月</w:t>
      </w:r>
      <w:r>
        <w:rPr>
          <w:rFonts w:hint="eastAsia"/>
        </w:rPr>
        <w:t>20</w:t>
      </w:r>
      <w:r>
        <w:rPr>
          <w:rFonts w:hint="eastAsia"/>
        </w:rPr>
        <w:t>日，并将其置于湖南电力市场的枯水期经营场景中考察。对于售电公司而言，这一阶段周度中长期底仓安排、小时级现货价格暴露与负荷偏差风险往往同时存在：底仓配置不足，会使企业在高价时段被动暴露于现货；底仓配置过高，又可能因用户实际用电偏离而放大偏差结算压力。与此同时，新能源市场化程度持续提升，相关价格信号和出力不确定性正在通过现货市场更直接地传导至售电公司的购电成本。</w:t>
      </w:r>
      <w:r>
        <w:rPr>
          <w:rFonts w:hint="eastAsia"/>
        </w:rPr>
        <w:t>[3][7][16]</w:t>
      </w:r>
      <w:r>
        <w:t xml:space="preserve"> </w:t>
      </w:r>
      <w:r>
        <w:rPr>
          <w:rFonts w:hint="eastAsia"/>
        </w:rPr>
        <w:t>负荷预测研究也表明，预测误差会改变合同覆盖率与现货敞口之间的匹配关系，从而放大经营结果的波动性。</w:t>
      </w:r>
      <w:r>
        <w:rPr>
          <w:rFonts w:hint="eastAsia"/>
        </w:rPr>
        <w:t>[5]</w:t>
      </w:r>
    </w:p>
    <w:p w14:paraId="1D4868A1" w14:textId="77777777" w:rsidR="00295573" w:rsidRDefault="00000000">
      <w:pPr>
        <w:pStyle w:val="a0"/>
      </w:pPr>
      <w:r>
        <w:rPr>
          <w:rFonts w:hint="eastAsia"/>
        </w:rPr>
        <w:t>围绕售电公司经营问题，现有研究已经讨论了购售电业务模式、差异化零售合同、多时间尺度购电以及风险评估等议题，但对于“周度中长期合约择时—小时级现货边际对冲—</w:t>
      </w:r>
      <w:r>
        <w:rPr>
          <w:rFonts w:hint="eastAsia"/>
        </w:rPr>
        <w:t>15</w:t>
      </w:r>
      <w:r>
        <w:rPr>
          <w:rFonts w:hint="eastAsia"/>
        </w:rPr>
        <w:t>分钟代理结算回测”这一完整链条，尤其是在枯水期与新能源市场化扰动并存条件下的统一建模，仍缺乏贴近经营场景的系统研究。</w:t>
      </w:r>
      <w:r>
        <w:rPr>
          <w:rFonts w:hint="eastAsia"/>
        </w:rPr>
        <w:t>[19][20][21]</w:t>
      </w:r>
      <w:r>
        <w:t xml:space="preserve"> </w:t>
      </w:r>
      <w:r>
        <w:rPr>
          <w:rFonts w:hint="eastAsia"/>
        </w:rPr>
        <w:t>因此，本文拟回答的问题是：在湖南电力市场的制度边界内，售电公司应如何把中长期底仓决策与现货风险对冲联动起来，在控制尾部风险的同时改善购电成本与收益表现。</w:t>
      </w:r>
    </w:p>
    <w:p w14:paraId="7DE2B55C" w14:textId="77777777" w:rsidR="00295573" w:rsidRDefault="00000000">
      <w:pPr>
        <w:pStyle w:val="a0"/>
      </w:pPr>
      <w:r>
        <w:t xml:space="preserve">1.2 </w:t>
      </w:r>
      <w:r>
        <w:rPr>
          <w:rFonts w:hint="eastAsia"/>
        </w:rPr>
        <w:t>研究意义与研究对象界定</w:t>
      </w:r>
    </w:p>
    <w:p w14:paraId="7D54988F" w14:textId="77777777" w:rsidR="00295573" w:rsidRDefault="00000000">
      <w:pPr>
        <w:pStyle w:val="a0"/>
      </w:pPr>
      <w:r>
        <w:rPr>
          <w:rFonts w:hint="eastAsia"/>
        </w:rPr>
        <w:t>本文的理论意义在于，将售电公司购电问题从静态“配比优化”推进为动态“主动管理”问题。已有关于差价合约、电量分解和中长期—现货衔接的研究，为把合同头寸理解为结算锚和风险管理工具提供了基础。</w:t>
      </w:r>
      <w:r>
        <w:rPr>
          <w:rFonts w:hint="eastAsia"/>
        </w:rPr>
        <w:t>[1][4][18]</w:t>
      </w:r>
      <w:r>
        <w:t xml:space="preserve"> </w:t>
      </w:r>
      <w:r>
        <w:rPr>
          <w:rFonts w:hint="eastAsia"/>
        </w:rPr>
        <w:t>在此基础上，本文进一步把周度合约择时、小时级风险修正和</w:t>
      </w:r>
      <w:r>
        <w:rPr>
          <w:rFonts w:hint="eastAsia"/>
        </w:rPr>
        <w:t>15</w:t>
      </w:r>
      <w:r>
        <w:rPr>
          <w:rFonts w:hint="eastAsia"/>
        </w:rPr>
        <w:t>分钟结算校验串联起来，尝试形成更符合售电公司经营逻辑的多时间尺度分析框架。</w:t>
      </w:r>
    </w:p>
    <w:p w14:paraId="316D95D2" w14:textId="77777777" w:rsidR="00295573" w:rsidRDefault="00000000">
      <w:pPr>
        <w:pStyle w:val="a0"/>
      </w:pPr>
      <w:r>
        <w:rPr>
          <w:rFonts w:hint="eastAsia"/>
        </w:rPr>
        <w:t>本文的现实意义则在于，售电公司面对的并不是单一价格波动，而是用户负荷、合同结构、现货价格和制度切换共同构成的复合风险。</w:t>
      </w:r>
      <w:r>
        <w:rPr>
          <w:rFonts w:hint="eastAsia"/>
        </w:rPr>
        <w:t>[19][20]</w:t>
      </w:r>
      <w:r>
        <w:t xml:space="preserve"> </w:t>
      </w:r>
      <w:r>
        <w:rPr>
          <w:rFonts w:hint="eastAsia"/>
        </w:rPr>
        <w:t>因而，研究对象必须严格限定。本文仅讨论湖南电力市场中的售电公司，不扩展至其他经营主体；变量设计仅围绕中长期底仓、现货价格、负荷偏差、新能源扰动和制度状态展开，不额外引入未设定的市场主体、市场机制或数据字段。需要特别说明的是，本文所称中</w:t>
      </w:r>
      <w:r>
        <w:rPr>
          <w:rFonts w:hint="eastAsia"/>
        </w:rPr>
        <w:lastRenderedPageBreak/>
        <w:t>长期合约，仅指批发侧的结算依据和风险管理工具，不将其写作机组物理执行计划或调度指令，这一点与差价合约及其电量分解研究的基本语义一致。</w:t>
      </w:r>
      <w:r>
        <w:rPr>
          <w:rFonts w:hint="eastAsia"/>
        </w:rPr>
        <w:t>[1][4][18]</w:t>
      </w:r>
    </w:p>
    <w:p w14:paraId="5419541B" w14:textId="77777777" w:rsidR="00295573" w:rsidRDefault="00000000">
      <w:pPr>
        <w:pStyle w:val="a0"/>
      </w:pPr>
      <w:r>
        <w:rPr>
          <w:rFonts w:hint="eastAsia"/>
        </w:rPr>
        <w:t>在制度边界上，本文一律按照政策生效时间而非发布时间划分样本和状态。基于此，</w:t>
      </w:r>
      <w:r>
        <w:rPr>
          <w:rFonts w:hint="eastAsia"/>
        </w:rPr>
        <w:t>2026</w:t>
      </w:r>
      <w:r>
        <w:rPr>
          <w:rFonts w:hint="eastAsia"/>
        </w:rPr>
        <w:t>年</w:t>
      </w:r>
      <w:r>
        <w:rPr>
          <w:rFonts w:hint="eastAsia"/>
        </w:rPr>
        <w:t>1</w:t>
      </w:r>
      <w:r>
        <w:rPr>
          <w:rFonts w:hint="eastAsia"/>
        </w:rPr>
        <w:t>月</w:t>
      </w:r>
      <w:r>
        <w:rPr>
          <w:rFonts w:hint="eastAsia"/>
        </w:rPr>
        <w:t>1</w:t>
      </w:r>
      <w:r>
        <w:rPr>
          <w:rFonts w:hint="eastAsia"/>
        </w:rPr>
        <w:t>日前的样本不采用新能源机制电价执行口径；</w:t>
      </w:r>
      <w:r>
        <w:rPr>
          <w:rFonts w:hint="eastAsia"/>
        </w:rPr>
        <w:t>2026</w:t>
      </w:r>
      <w:r>
        <w:rPr>
          <w:rFonts w:hint="eastAsia"/>
        </w:rPr>
        <w:t>年</w:t>
      </w:r>
      <w:r>
        <w:rPr>
          <w:rFonts w:hint="eastAsia"/>
        </w:rPr>
        <w:t>2</w:t>
      </w:r>
      <w:r>
        <w:rPr>
          <w:rFonts w:hint="eastAsia"/>
        </w:rPr>
        <w:t>月年度多月交易前的样本，不预设“</w:t>
      </w:r>
      <w:r>
        <w:rPr>
          <w:rFonts w:hint="eastAsia"/>
        </w:rPr>
        <w:t>40%</w:t>
      </w:r>
      <w:r>
        <w:rPr>
          <w:rFonts w:hint="eastAsia"/>
        </w:rPr>
        <w:t>固定价格</w:t>
      </w:r>
      <w:r>
        <w:rPr>
          <w:rFonts w:hint="eastAsia"/>
        </w:rPr>
        <w:t>+60%</w:t>
      </w:r>
      <w:r>
        <w:rPr>
          <w:rFonts w:hint="eastAsia"/>
        </w:rPr>
        <w:t>灵活价格”的年度中长期合同机制。上述处理不是对政策本身的再次解释，而是本文为保证回测语义一致性而采取的建模边界。</w:t>
      </w:r>
    </w:p>
    <w:p w14:paraId="6ABC8033" w14:textId="77777777" w:rsidR="00295573" w:rsidRDefault="00000000">
      <w:pPr>
        <w:pStyle w:val="a0"/>
      </w:pPr>
      <w:r>
        <w:t xml:space="preserve">1.3 </w:t>
      </w:r>
      <w:r>
        <w:rPr>
          <w:rFonts w:hint="eastAsia"/>
        </w:rPr>
        <w:t>研究内容、研究方法、技术路线与创新点</w:t>
      </w:r>
    </w:p>
    <w:p w14:paraId="5C8F100C" w14:textId="77777777" w:rsidR="00295573" w:rsidRDefault="00000000">
      <w:pPr>
        <w:pStyle w:val="a0"/>
      </w:pPr>
      <w:r>
        <w:rPr>
          <w:rFonts w:hint="eastAsia"/>
        </w:rPr>
        <w:t>围绕前述问题，本文构建的研究主线为：周度中长期底仓决策、小时级现货边际风险对冲以及</w:t>
      </w:r>
      <w:r>
        <w:rPr>
          <w:rFonts w:hint="eastAsia"/>
        </w:rPr>
        <w:t>15</w:t>
      </w:r>
      <w:r>
        <w:rPr>
          <w:rFonts w:hint="eastAsia"/>
        </w:rPr>
        <w:t>分钟代理结算回测。具体而言，首先依据制度状态、价格信号和负荷预期确定周度中长期底仓；其次，在运行过程中利用小时级信号对现货敞口进行边际修正；最后，以</w:t>
      </w:r>
      <w:r>
        <w:rPr>
          <w:rFonts w:hint="eastAsia"/>
        </w:rPr>
        <w:t>15</w:t>
      </w:r>
      <w:r>
        <w:rPr>
          <w:rFonts w:hint="eastAsia"/>
        </w:rPr>
        <w:t>分钟代理结算口径检验策略在收益、风险与稳定性上的实际表现。</w:t>
      </w:r>
    </w:p>
    <w:p w14:paraId="77678F4C" w14:textId="77777777" w:rsidR="00295573" w:rsidRDefault="00000000">
      <w:pPr>
        <w:pStyle w:val="a0"/>
      </w:pPr>
      <w:r>
        <w:rPr>
          <w:rFonts w:hint="eastAsia"/>
        </w:rPr>
        <w:t>研究方法上，本文综合采用规范分析、文献综述、多时间尺度决策建模、智能策略学习与回测评价等方法。由于售电公司的购电与对冲属于典型的连续序贯决策问题，强化学习方法为处理状态—动作—回报结构提供了直接的方法基础。</w:t>
      </w:r>
      <w:r>
        <w:rPr>
          <w:rFonts w:hint="eastAsia"/>
        </w:rPr>
        <w:t>[50]</w:t>
      </w:r>
      <w:r>
        <w:t xml:space="preserve"> </w:t>
      </w:r>
      <w:r>
        <w:rPr>
          <w:rFonts w:hint="eastAsia"/>
        </w:rPr>
        <w:t>同时，</w:t>
      </w:r>
      <w:r>
        <w:rPr>
          <w:rFonts w:hint="eastAsia"/>
        </w:rPr>
        <w:t>PSO</w:t>
      </w:r>
      <w:r>
        <w:rPr>
          <w:rFonts w:hint="eastAsia"/>
        </w:rPr>
        <w:t>类算法及其约束处理研究在复杂可行域搜索和离线全局优化中具有较成熟的经验，可为可行域生成、基准策略设计和参数寻优提供参考。</w:t>
      </w:r>
      <w:r>
        <w:rPr>
          <w:rFonts w:hint="eastAsia"/>
        </w:rPr>
        <w:t>[46][47][53]</w:t>
      </w:r>
      <w:r>
        <w:t xml:space="preserve"> </w:t>
      </w:r>
      <w:r>
        <w:rPr>
          <w:rFonts w:hint="eastAsia"/>
        </w:rPr>
        <w:t>在风险评价方面，本文将收益指标与</w:t>
      </w:r>
      <w:r>
        <w:rPr>
          <w:rFonts w:hint="eastAsia"/>
        </w:rPr>
        <w:t>CVaR</w:t>
      </w:r>
      <w:r>
        <w:rPr>
          <w:rFonts w:hint="eastAsia"/>
        </w:rPr>
        <w:t>等尾部风险指标结合起来，以兼顾经营目标和下行情形控制。</w:t>
      </w:r>
      <w:r>
        <w:rPr>
          <w:rFonts w:hint="eastAsia"/>
        </w:rPr>
        <w:t>[34][43]</w:t>
      </w:r>
    </w:p>
    <w:p w14:paraId="5AF148E0" w14:textId="77777777" w:rsidR="00295573" w:rsidRDefault="00000000">
      <w:pPr>
        <w:pStyle w:val="a0"/>
      </w:pPr>
      <w:r>
        <w:rPr>
          <w:rFonts w:hint="eastAsia"/>
        </w:rPr>
        <w:t>据此，本文的技术路线可以概括为：识别制度约束与生效时点，梳理售电公司风险传导链条；构建“周度底仓—小时修正—</w:t>
      </w:r>
      <w:r>
        <w:rPr>
          <w:rFonts w:hint="eastAsia"/>
        </w:rPr>
        <w:t>15</w:t>
      </w:r>
      <w:r>
        <w:rPr>
          <w:rFonts w:hint="eastAsia"/>
        </w:rPr>
        <w:t>分钟回测”的多时间尺度决策框架；形成策略并与基准方案比较；最终从收益、风险和结算一致性三个层面评估策略有效性。本文的创新尝试主要体现在三个方面：第一，从售电公司经营视角打通周度合约择时、小时级现货修正与</w:t>
      </w:r>
      <w:r>
        <w:rPr>
          <w:rFonts w:hint="eastAsia"/>
        </w:rPr>
        <w:t>15</w:t>
      </w:r>
      <w:r>
        <w:rPr>
          <w:rFonts w:hint="eastAsia"/>
        </w:rPr>
        <w:t>分钟代理结算，不再将其割裂处理；第二，把政策生效时间转译为制度状态与可行域边界，避免规则口径前置；第三，在枯水期与新能源市场化扰动并存的条件下，明确中长期合约的结算与对冲属性，以保证模型语义与市场机制相一致。</w:t>
      </w:r>
    </w:p>
    <w:p w14:paraId="7585935C" w14:textId="77777777" w:rsidR="00295573" w:rsidRDefault="00000000">
      <w:pPr>
        <w:pStyle w:val="a0"/>
      </w:pPr>
      <w:r>
        <w:t xml:space="preserve">1.4 </w:t>
      </w:r>
      <w:r>
        <w:rPr>
          <w:rFonts w:hint="eastAsia"/>
        </w:rPr>
        <w:t>章节安排</w:t>
      </w:r>
    </w:p>
    <w:p w14:paraId="20733665" w14:textId="77777777" w:rsidR="00295573" w:rsidRDefault="00000000">
      <w:pPr>
        <w:pStyle w:val="a0"/>
      </w:pPr>
      <w:r>
        <w:rPr>
          <w:rFonts w:hint="eastAsia"/>
        </w:rPr>
        <w:t>全文共分六章。第一章为绪论，交代研究背景、研究意义、研究对象、研究内容与技术路线。第二章为国内外研究现状与理论基础，围绕中长期—现货衔接、售电公司风险管理、新能源市场化扰动、策略搜索方法和尾部风险度量进行综述，并明确本文切入点。第三章构建售电公司多时间尺度购电决策模型，界定状态变量、决策变量、约束条件和目标函数。第四章讨论模型求解与实验设计，说明制度状态、可行域、策略生成与比较口径。第五章开展实证回测与结果分析，重点检验周度底仓</w:t>
      </w:r>
      <w:r>
        <w:rPr>
          <w:rFonts w:hint="eastAsia"/>
        </w:rPr>
        <w:lastRenderedPageBreak/>
        <w:t>调整、小时级修正以及结算回测表现。第六章归纳研究结论，提出经营启示与后续研究方向。</w:t>
      </w:r>
    </w:p>
    <w:p w14:paraId="7EFA91D6" w14:textId="77777777" w:rsidR="00295573" w:rsidRDefault="00000000">
      <w:pPr>
        <w:pStyle w:val="a0"/>
      </w:pPr>
      <w:r>
        <w:rPr>
          <w:rFonts w:hint="eastAsia"/>
        </w:rPr>
        <w:t>第二章</w:t>
      </w:r>
      <w:r>
        <w:t xml:space="preserve"> </w:t>
      </w:r>
      <w:r>
        <w:rPr>
          <w:rFonts w:hint="eastAsia"/>
        </w:rPr>
        <w:t>国内外研究现状与理论基础</w:t>
      </w:r>
    </w:p>
    <w:p w14:paraId="6DB9B414" w14:textId="77777777" w:rsidR="00295573" w:rsidRDefault="00000000">
      <w:pPr>
        <w:pStyle w:val="a0"/>
      </w:pPr>
      <w:r>
        <w:t xml:space="preserve">2.1 </w:t>
      </w:r>
      <w:r>
        <w:rPr>
          <w:rFonts w:hint="eastAsia"/>
        </w:rPr>
        <w:t>电力市场机制与中长期—现货衔接</w:t>
      </w:r>
    </w:p>
    <w:p w14:paraId="083E4E7E" w14:textId="77777777" w:rsidR="00295573" w:rsidRDefault="00000000">
      <w:pPr>
        <w:pStyle w:val="a0"/>
      </w:pPr>
      <w:r>
        <w:rPr>
          <w:rFonts w:hint="eastAsia"/>
        </w:rPr>
        <w:t>从电力市场机制看，现货市场的核心作用在于通过分时价格把供需关系、运行约束和系统状态传导给市场主体，从而实现资源配置与价格发现。</w:t>
      </w:r>
      <w:r>
        <w:rPr>
          <w:rFonts w:hint="eastAsia"/>
        </w:rPr>
        <w:t>[9][11][22]</w:t>
      </w:r>
      <w:r>
        <w:t xml:space="preserve"> </w:t>
      </w:r>
      <w:r>
        <w:rPr>
          <w:rFonts w:hint="eastAsia"/>
        </w:rPr>
        <w:t>因此，中长期交易与现货交易之间如何衔接，一直是电力市场设计的关键议题。围绕这一问题，现有研究大致形成两条脉络：一条脉络把中长期合约视为差价合约或价格锁定工具，重点讨论合同主体、合同周期、合同数量、合同价格与基准价设计。</w:t>
      </w:r>
      <w:r>
        <w:rPr>
          <w:rFonts w:hint="eastAsia"/>
        </w:rPr>
        <w:t>[1]</w:t>
      </w:r>
      <w:r>
        <w:t xml:space="preserve"> </w:t>
      </w:r>
      <w:r>
        <w:rPr>
          <w:rFonts w:hint="eastAsia"/>
        </w:rPr>
        <w:t>另一条脉络则围绕合约电量分解、分时曲线构造和中长期—现货协调机制展开，试图解决合同结算与现货偏差之间的一致化问题。</w:t>
      </w:r>
      <w:r>
        <w:rPr>
          <w:rFonts w:hint="eastAsia"/>
        </w:rPr>
        <w:t>[4][18]</w:t>
      </w:r>
      <w:r>
        <w:t xml:space="preserve"> </w:t>
      </w:r>
      <w:r>
        <w:rPr>
          <w:rFonts w:hint="eastAsia"/>
        </w:rPr>
        <w:t>相关综述进一步指出，现货市场建设不能脱离区域供需结构、市场经验和市场规则协调而孤立推进。</w:t>
      </w:r>
      <w:r>
        <w:rPr>
          <w:rFonts w:hint="eastAsia"/>
        </w:rPr>
        <w:t>[22]</w:t>
      </w:r>
    </w:p>
    <w:p w14:paraId="5955E88D" w14:textId="77777777" w:rsidR="00295573" w:rsidRDefault="00000000">
      <w:pPr>
        <w:pStyle w:val="a0"/>
      </w:pPr>
      <w:r>
        <w:rPr>
          <w:rFonts w:hint="eastAsia"/>
        </w:rPr>
        <w:t>这一研究脉络对本文有两点直接启发。其一，中长期合约在本文中的语义应被界定为价格锁定与风险对冲工具，而不能写成物理执行计划，这既符合差价合约理论，也符合中长期—现货衔接研究的基本逻辑。</w:t>
      </w:r>
      <w:r>
        <w:rPr>
          <w:rFonts w:hint="eastAsia"/>
        </w:rPr>
        <w:t>[1][4][18]</w:t>
      </w:r>
      <w:r>
        <w:t xml:space="preserve"> </w:t>
      </w:r>
      <w:r>
        <w:rPr>
          <w:rFonts w:hint="eastAsia"/>
        </w:rPr>
        <w:t>其二，售电公司真正面对的不是“是否进入现货”的选择，而是在既定中长期头寸下如何管理现货暴露的问题。也就是说，本文讨论的周度底仓，本质上是结算性头寸管理，而不是发用电计划编排。</w:t>
      </w:r>
    </w:p>
    <w:p w14:paraId="4FC74C94" w14:textId="77777777" w:rsidR="00295573" w:rsidRDefault="00000000">
      <w:pPr>
        <w:pStyle w:val="a0"/>
      </w:pPr>
      <w:r>
        <w:t xml:space="preserve">2.2 </w:t>
      </w:r>
      <w:r>
        <w:rPr>
          <w:rFonts w:hint="eastAsia"/>
        </w:rPr>
        <w:t>售电公司购售电风险管理</w:t>
      </w:r>
    </w:p>
    <w:p w14:paraId="2BD19E10" w14:textId="77777777" w:rsidR="00295573" w:rsidRDefault="00000000">
      <w:pPr>
        <w:pStyle w:val="a0"/>
      </w:pPr>
      <w:r>
        <w:rPr>
          <w:rFonts w:hint="eastAsia"/>
        </w:rPr>
        <w:t>围绕售电公司，国内研究已经形成较完整的业务分析框架。相关文献指出，售电公司的经营链条包括负荷预测、批发购电、零售合同设计、风险管理与结算等多个环节，其核心难点在于如何在价格不确定、需求不确定和合同异质性并存的条件下组织购售电业务。</w:t>
      </w:r>
      <w:r>
        <w:rPr>
          <w:rFonts w:hint="eastAsia"/>
        </w:rPr>
        <w:t>[2][21]</w:t>
      </w:r>
      <w:r>
        <w:t xml:space="preserve"> </w:t>
      </w:r>
      <w:r>
        <w:rPr>
          <w:rFonts w:hint="eastAsia"/>
        </w:rPr>
        <w:t>在模型研究上，学者们从购售电业务分类、双层决策、需求响应参与、情景模拟和风险偏好等角度进行了扩展，表明售电公司的收益不只取决于购销价差，还受负荷偏差、合同类型和市场波动共同影响。</w:t>
      </w:r>
      <w:r>
        <w:rPr>
          <w:rFonts w:hint="eastAsia"/>
        </w:rPr>
        <w:t>[13][14][19][20][24]</w:t>
      </w:r>
    </w:p>
    <w:p w14:paraId="23A98C8D" w14:textId="77777777" w:rsidR="00295573" w:rsidRDefault="00000000">
      <w:pPr>
        <w:pStyle w:val="a0"/>
      </w:pPr>
      <w:r>
        <w:rPr>
          <w:rFonts w:hint="eastAsia"/>
        </w:rPr>
        <w:t>国外关于电力资产与零售商合同组合的研究起步较早。已有研究分别从中期综合风险管理、零售商套期保值、合同组合优化与多市场组合配置等角度，讨论如何同时处理价格风险、数量风险和风险偏好。</w:t>
      </w:r>
      <w:r>
        <w:rPr>
          <w:rFonts w:hint="eastAsia"/>
        </w:rPr>
        <w:t>[31][41][44][49]</w:t>
      </w:r>
      <w:r>
        <w:t xml:space="preserve"> </w:t>
      </w:r>
      <w:r>
        <w:rPr>
          <w:rFonts w:hint="eastAsia"/>
        </w:rPr>
        <w:t>近年也出现了直接面向中国电力市场环境的售电交易组合优化研究。</w:t>
      </w:r>
      <w:r>
        <w:rPr>
          <w:rFonts w:hint="eastAsia"/>
        </w:rPr>
        <w:t>[39]</w:t>
      </w:r>
      <w:r>
        <w:t xml:space="preserve"> </w:t>
      </w:r>
      <w:r>
        <w:rPr>
          <w:rFonts w:hint="eastAsia"/>
        </w:rPr>
        <w:t>总体来看，无论国内还是国外，售电公司研究都已经证明：其风险来源不是单一的现货高价，而是合同头寸、负荷误差、用户行为和市场价格共同作用的结果。但现有成果多聚焦月度、年度或静态组合层面的购电配置，对于周度择时与高频结算之间的联动考察仍然不足。</w:t>
      </w:r>
    </w:p>
    <w:p w14:paraId="3A81D4AA" w14:textId="77777777" w:rsidR="00295573" w:rsidRDefault="00000000">
      <w:pPr>
        <w:pStyle w:val="a0"/>
      </w:pPr>
      <w:r>
        <w:t xml:space="preserve">2.3 </w:t>
      </w:r>
      <w:r>
        <w:rPr>
          <w:rFonts w:hint="eastAsia"/>
        </w:rPr>
        <w:t>新能源市场化扰动与价格风险</w:t>
      </w:r>
    </w:p>
    <w:p w14:paraId="21C856A0" w14:textId="77777777" w:rsidR="00295573" w:rsidRDefault="00000000">
      <w:pPr>
        <w:pStyle w:val="a0"/>
      </w:pPr>
      <w:r>
        <w:rPr>
          <w:rFonts w:hint="eastAsia"/>
        </w:rPr>
        <w:lastRenderedPageBreak/>
        <w:t>在高比例新能源背景下，现货市场既被赋予促进可再生能源消纳的功能，也因此更容易受到出力随机性与不确定性的冲击。</w:t>
      </w:r>
      <w:r>
        <w:rPr>
          <w:rFonts w:hint="eastAsia"/>
        </w:rPr>
        <w:t>[7][16]</w:t>
      </w:r>
      <w:r>
        <w:t xml:space="preserve"> </w:t>
      </w:r>
      <w:r>
        <w:rPr>
          <w:rFonts w:hint="eastAsia"/>
        </w:rPr>
        <w:t>相关研究普遍指出，新能源参与市场后，价格尖峰、净负荷波动、灵活性需求和调节成本都会以更直接的方式反映到市场价格之中；因此，需求侧资源和更高精度的预测能力变得更加重要。</w:t>
      </w:r>
      <w:r>
        <w:rPr>
          <w:rFonts w:hint="eastAsia"/>
        </w:rPr>
        <w:t>[23]</w:t>
      </w:r>
      <w:r>
        <w:t xml:space="preserve"> </w:t>
      </w:r>
      <w:r>
        <w:rPr>
          <w:rFonts w:hint="eastAsia"/>
        </w:rPr>
        <w:t>这意味着售电公司面临的风险已经不只是传统意义上的用电波动，而是新能源出力误差、负荷预测误差和价格响应机制共同构成的复合扰动。</w:t>
      </w:r>
    </w:p>
    <w:p w14:paraId="1DAFFBF0" w14:textId="77777777" w:rsidR="00295573" w:rsidRDefault="00000000">
      <w:pPr>
        <w:pStyle w:val="a0"/>
      </w:pPr>
      <w:r>
        <w:rPr>
          <w:rFonts w:hint="eastAsia"/>
        </w:rPr>
        <w:t>与此同时，与绿电、绿证等机制协同的研究也表明，新能源市场化不仅会改变交易品种，更会经由价格信号、消纳责任和市场预期影响主体决策。</w:t>
      </w:r>
      <w:r>
        <w:rPr>
          <w:rFonts w:hint="eastAsia"/>
        </w:rPr>
        <w:t>[3]</w:t>
      </w:r>
      <w:r>
        <w:t xml:space="preserve"> </w:t>
      </w:r>
      <w:r>
        <w:rPr>
          <w:rFonts w:hint="eastAsia"/>
        </w:rPr>
        <w:t>对售电公司而言，这类影响最终仍会回到购电成本和现货暴露上，而不必被机械地扩展为新的市场主体或新的结算字段。从方法上看，负荷预测研究已经给出短期预测改进方向，</w:t>
      </w:r>
      <w:r>
        <w:rPr>
          <w:rFonts w:hint="eastAsia"/>
        </w:rPr>
        <w:t>[5]</w:t>
      </w:r>
      <w:r>
        <w:t xml:space="preserve"> </w:t>
      </w:r>
      <w:r>
        <w:rPr>
          <w:rFonts w:hint="eastAsia"/>
        </w:rPr>
        <w:t>风险管理综述也提示电力市场风险评估正在从单一价格风险识别转向价格、数量和制度风险的联合管理。</w:t>
      </w:r>
      <w:r>
        <w:rPr>
          <w:rFonts w:hint="eastAsia"/>
        </w:rPr>
        <w:t>[51]</w:t>
      </w:r>
      <w:r>
        <w:t xml:space="preserve"> </w:t>
      </w:r>
      <w:r>
        <w:rPr>
          <w:rFonts w:hint="eastAsia"/>
        </w:rPr>
        <w:t>因而，本文将新能源市场化扰动理解为现货价格风险的重要来源，但在模型表达上仍保持对研究边界的严格控制。</w:t>
      </w:r>
    </w:p>
    <w:p w14:paraId="0360E86E" w14:textId="77777777" w:rsidR="00295573" w:rsidRDefault="00000000">
      <w:pPr>
        <w:pStyle w:val="a0"/>
      </w:pPr>
      <w:r>
        <w:t xml:space="preserve">2.4 </w:t>
      </w:r>
      <w:r>
        <w:rPr>
          <w:rFonts w:hint="eastAsia"/>
        </w:rPr>
        <w:t>PSO/HPSO</w:t>
      </w:r>
      <w:r>
        <w:rPr>
          <w:rFonts w:hint="eastAsia"/>
        </w:rPr>
        <w:t>、约束优化与策略搜索</w:t>
      </w:r>
    </w:p>
    <w:p w14:paraId="37C166F4" w14:textId="77777777" w:rsidR="00295573" w:rsidRDefault="00000000">
      <w:pPr>
        <w:pStyle w:val="a0"/>
      </w:pPr>
      <w:r>
        <w:rPr>
          <w:rFonts w:hint="eastAsia"/>
        </w:rPr>
        <w:t>在策略搜索方法上，粒子群优化算法因参数结构简单、全局搜索能力较强而成为复杂优化问题中的常用工具。</w:t>
      </w:r>
      <w:r>
        <w:rPr>
          <w:rFonts w:hint="eastAsia"/>
        </w:rPr>
        <w:t>[46][52]</w:t>
      </w:r>
      <w:r>
        <w:t xml:space="preserve"> </w:t>
      </w:r>
      <w:r>
        <w:rPr>
          <w:rFonts w:hint="eastAsia"/>
        </w:rPr>
        <w:t>随着研究推进，</w:t>
      </w:r>
      <w:r>
        <w:rPr>
          <w:rFonts w:hint="eastAsia"/>
        </w:rPr>
        <w:t>PSO</w:t>
      </w:r>
      <w:r>
        <w:rPr>
          <w:rFonts w:hint="eastAsia"/>
        </w:rPr>
        <w:t>的权重调整、收缩因子、混合化改进和多目标扩展不断发展，并在电力系统调度、规划和市场优化中形成了较成熟的应用谱系。</w:t>
      </w:r>
      <w:r>
        <w:rPr>
          <w:rFonts w:hint="eastAsia"/>
        </w:rPr>
        <w:t>[47]</w:t>
      </w:r>
      <w:r>
        <w:t xml:space="preserve"> </w:t>
      </w:r>
      <w:r>
        <w:rPr>
          <w:rFonts w:hint="eastAsia"/>
        </w:rPr>
        <w:t>与此同时，约束优化研究则围绕惩罚函数、可行性优先、支配关系和混合启发式搜索等机制展开，为复杂市场规则下的可行域搜索提供了方法支持。</w:t>
      </w:r>
      <w:r>
        <w:rPr>
          <w:rFonts w:hint="eastAsia"/>
        </w:rPr>
        <w:t>[53]</w:t>
      </w:r>
    </w:p>
    <w:p w14:paraId="119771D0" w14:textId="77777777" w:rsidR="00295573" w:rsidRDefault="00000000">
      <w:pPr>
        <w:pStyle w:val="a0"/>
      </w:pPr>
      <w:r>
        <w:rPr>
          <w:rFonts w:hint="eastAsia"/>
        </w:rPr>
        <w:t>具体到售电公司场景，已有研究已经把改进粒子群与</w:t>
      </w:r>
      <w:r>
        <w:rPr>
          <w:rFonts w:hint="eastAsia"/>
        </w:rPr>
        <w:t>CVaR</w:t>
      </w:r>
      <w:r>
        <w:rPr>
          <w:rFonts w:hint="eastAsia"/>
        </w:rPr>
        <w:t>相结合，用于两级电力市场环境下的购售电策略求解。</w:t>
      </w:r>
      <w:r>
        <w:rPr>
          <w:rFonts w:hint="eastAsia"/>
        </w:rPr>
        <w:t>[15]</w:t>
      </w:r>
      <w:r>
        <w:t xml:space="preserve"> </w:t>
      </w:r>
      <w:r>
        <w:rPr>
          <w:rFonts w:hint="eastAsia"/>
        </w:rPr>
        <w:t>这说明</w:t>
      </w:r>
      <w:r>
        <w:rPr>
          <w:rFonts w:hint="eastAsia"/>
        </w:rPr>
        <w:t>PSO/HPSO</w:t>
      </w:r>
      <w:r>
        <w:rPr>
          <w:rFonts w:hint="eastAsia"/>
        </w:rPr>
        <w:t>类方法对求解离线、非线性、强约束的市场优化问题具有明显优势，尤其适合作为基准搜索方法、参数寻优方法或复杂约束下的可行解生成器。但从方法边界看，这类算法更擅长在给定样本上寻找静态或准静态最优解，对连续滚动、状态反馈显著的择时决策，其在线自适应能力相对有限。因此，在本文的问题设定中，</w:t>
      </w:r>
      <w:r>
        <w:rPr>
          <w:rFonts w:hint="eastAsia"/>
        </w:rPr>
        <w:t>PSO/HPSO</w:t>
      </w:r>
      <w:r>
        <w:rPr>
          <w:rFonts w:hint="eastAsia"/>
        </w:rPr>
        <w:t>类方法更适合作为策略搜索文献基础和比较基准，而售电公司周度底仓的动态调整则需要与序贯学习方法结合起来理解。</w:t>
      </w:r>
      <w:r>
        <w:rPr>
          <w:rFonts w:hint="eastAsia"/>
        </w:rPr>
        <w:t>[50]</w:t>
      </w:r>
    </w:p>
    <w:p w14:paraId="79F603DD" w14:textId="77777777" w:rsidR="00295573" w:rsidRDefault="00000000">
      <w:pPr>
        <w:pStyle w:val="a0"/>
      </w:pPr>
      <w:r>
        <w:t xml:space="preserve">2.5 </w:t>
      </w:r>
      <w:r>
        <w:rPr>
          <w:rFonts w:hint="eastAsia"/>
        </w:rPr>
        <w:t>CVaR</w:t>
      </w:r>
      <w:r>
        <w:rPr>
          <w:rFonts w:hint="eastAsia"/>
        </w:rPr>
        <w:t>、最大回撤与尾部风险评价</w:t>
      </w:r>
    </w:p>
    <w:p w14:paraId="6DFF242D" w14:textId="77777777" w:rsidR="00295573" w:rsidRDefault="00000000">
      <w:pPr>
        <w:pStyle w:val="a0"/>
      </w:pPr>
      <w:r>
        <w:rPr>
          <w:rFonts w:hint="eastAsia"/>
        </w:rPr>
        <w:t>在风险度量理论上，一致性风险度量为电力组合风险评价提供了较为稳固的公理基础。</w:t>
      </w:r>
      <w:r>
        <w:rPr>
          <w:rFonts w:hint="eastAsia"/>
        </w:rPr>
        <w:t>[34]</w:t>
      </w:r>
      <w:r>
        <w:t xml:space="preserve"> </w:t>
      </w:r>
      <w:r>
        <w:rPr>
          <w:rFonts w:hint="eastAsia"/>
        </w:rPr>
        <w:t>在此基础上，</w:t>
      </w:r>
      <w:r>
        <w:rPr>
          <w:rFonts w:hint="eastAsia"/>
        </w:rPr>
        <w:t>CVaR</w:t>
      </w:r>
      <w:r>
        <w:rPr>
          <w:rFonts w:hint="eastAsia"/>
        </w:rPr>
        <w:t>通过直接刻画给定置信水平下的尾部损失期望，成为电力市场优化中最常见、最具可操作性的下行风险指标之一。</w:t>
      </w:r>
      <w:r>
        <w:rPr>
          <w:rFonts w:hint="eastAsia"/>
        </w:rPr>
        <w:t>[43]</w:t>
      </w:r>
      <w:r>
        <w:t xml:space="preserve"> </w:t>
      </w:r>
      <w:r>
        <w:rPr>
          <w:rFonts w:hint="eastAsia"/>
        </w:rPr>
        <w:t>对售电公司而言，</w:t>
      </w:r>
      <w:r>
        <w:rPr>
          <w:rFonts w:hint="eastAsia"/>
        </w:rPr>
        <w:t>CVaR</w:t>
      </w:r>
      <w:r>
        <w:rPr>
          <w:rFonts w:hint="eastAsia"/>
        </w:rPr>
        <w:t>的优势在于它不仅关注平均收益，还能对极端不利情形下的经营损失进行约束，因此被广泛用于合同组合、需求响应参与和多时间尺度购电模型中。</w:t>
      </w:r>
      <w:r>
        <w:rPr>
          <w:rFonts w:hint="eastAsia"/>
        </w:rPr>
        <w:t>[13][15][20][24]</w:t>
      </w:r>
    </w:p>
    <w:p w14:paraId="701BCBF4" w14:textId="77777777" w:rsidR="00295573" w:rsidRDefault="00000000">
      <w:pPr>
        <w:pStyle w:val="a0"/>
      </w:pPr>
      <w:r>
        <w:rPr>
          <w:rFonts w:hint="eastAsia"/>
        </w:rPr>
        <w:lastRenderedPageBreak/>
        <w:t>国外关于零售商套期保值和合同组合的研究也经常把</w:t>
      </w:r>
      <w:r>
        <w:rPr>
          <w:rFonts w:hint="eastAsia"/>
        </w:rPr>
        <w:t>VaR/CVaR</w:t>
      </w:r>
      <w:r>
        <w:rPr>
          <w:rFonts w:hint="eastAsia"/>
        </w:rPr>
        <w:t>嵌入小时级、中期或多市场组合优化框架，用以平衡预期收益与风险偏好。</w:t>
      </w:r>
      <w:r>
        <w:rPr>
          <w:rFonts w:hint="eastAsia"/>
        </w:rPr>
        <w:t>[41][44][49]</w:t>
      </w:r>
      <w:r>
        <w:t xml:space="preserve"> </w:t>
      </w:r>
      <w:r>
        <w:rPr>
          <w:rFonts w:hint="eastAsia"/>
        </w:rPr>
        <w:t>相关综述进一步表明，电力市场风险评估正在由单一价格波动识别，转向价格风险、数量风险和制度风险的联合刻画。</w:t>
      </w:r>
      <w:r>
        <w:rPr>
          <w:rFonts w:hint="eastAsia"/>
        </w:rPr>
        <w:t>[51]</w:t>
      </w:r>
      <w:r>
        <w:t xml:space="preserve"> </w:t>
      </w:r>
      <w:r>
        <w:rPr>
          <w:rFonts w:hint="eastAsia"/>
        </w:rPr>
        <w:t>至于最大回撤，从金融回测角度看，它能够描述策略净值路径从峰值到谷值的累计跌幅，适合补充</w:t>
      </w:r>
      <w:r>
        <w:rPr>
          <w:rFonts w:hint="eastAsia"/>
        </w:rPr>
        <w:t>CVaR</w:t>
      </w:r>
      <w:r>
        <w:rPr>
          <w:rFonts w:hint="eastAsia"/>
        </w:rPr>
        <w:t>对尾部损失的“截面刻画”；但就本轮语料而言，尚缺少直接面向售电公司购电策略评价的对应文献。因此，后续若将最大回撤纳入评价体系，更适合把它作为</w:t>
      </w:r>
      <w:r>
        <w:rPr>
          <w:rFonts w:hint="eastAsia"/>
        </w:rPr>
        <w:t>CVaR</w:t>
      </w:r>
      <w:r>
        <w:rPr>
          <w:rFonts w:hint="eastAsia"/>
        </w:rPr>
        <w:t>之外的路径风险补充量，而不宜将其单独视为本文理论基础中的核心指标【待核对】。</w:t>
      </w:r>
    </w:p>
    <w:p w14:paraId="756C4859" w14:textId="77777777" w:rsidR="00295573" w:rsidRDefault="00000000">
      <w:pPr>
        <w:pStyle w:val="a0"/>
      </w:pPr>
      <w:r>
        <w:t xml:space="preserve">2.6 </w:t>
      </w:r>
      <w:r>
        <w:rPr>
          <w:rFonts w:hint="eastAsia"/>
        </w:rPr>
        <w:t>现有研究不足与本文切入点</w:t>
      </w:r>
    </w:p>
    <w:p w14:paraId="56207026" w14:textId="77777777" w:rsidR="00295573" w:rsidRDefault="00000000">
      <w:pPr>
        <w:pStyle w:val="a0"/>
      </w:pPr>
      <w:r>
        <w:rPr>
          <w:rFonts w:hint="eastAsia"/>
        </w:rPr>
        <w:t>综合上述研究可以看到，现有成果仍存在四个与本文直接相关的不足。第一，关于中长期—现货衔接的研究更多立足总体市场设计或试点规则总结，</w:t>
      </w:r>
      <w:r>
        <w:rPr>
          <w:rFonts w:hint="eastAsia"/>
        </w:rPr>
        <w:t>[18][22]</w:t>
      </w:r>
      <w:r>
        <w:t xml:space="preserve"> </w:t>
      </w:r>
      <w:r>
        <w:rPr>
          <w:rFonts w:hint="eastAsia"/>
        </w:rPr>
        <w:t>对售电公司在既定规则下如何进行周度底仓择时讨论不足。第二，售电公司研究虽然已经关注合同组合和风险偏好，</w:t>
      </w:r>
      <w:r>
        <w:rPr>
          <w:rFonts w:hint="eastAsia"/>
        </w:rPr>
        <w:t>[19][20][39][41][44]</w:t>
      </w:r>
      <w:r>
        <w:t xml:space="preserve"> </w:t>
      </w:r>
      <w:r>
        <w:rPr>
          <w:rFonts w:hint="eastAsia"/>
        </w:rPr>
        <w:t>但多数模型仍停留在月度、年度或静态组合层面，对“周度决策—小时修正—</w:t>
      </w:r>
      <w:r>
        <w:rPr>
          <w:rFonts w:hint="eastAsia"/>
        </w:rPr>
        <w:t>15</w:t>
      </w:r>
      <w:r>
        <w:rPr>
          <w:rFonts w:hint="eastAsia"/>
        </w:rPr>
        <w:t>分钟结算”这一多时间尺度链条展开不够。第三，新能源相关研究多聚焦市场机制和系统适应性，</w:t>
      </w:r>
      <w:r>
        <w:rPr>
          <w:rFonts w:hint="eastAsia"/>
        </w:rPr>
        <w:t>[3][7][16][23]</w:t>
      </w:r>
      <w:r>
        <w:t xml:space="preserve"> </w:t>
      </w:r>
      <w:r>
        <w:rPr>
          <w:rFonts w:hint="eastAsia"/>
        </w:rPr>
        <w:t>较少把政策生效时间、制度切换和市场扰动显式转化为模型中的制度状态与可行域边界。第四，启发式搜索和组合优化方法在离线求优方面已经较成熟，</w:t>
      </w:r>
      <w:r>
        <w:rPr>
          <w:rFonts w:hint="eastAsia"/>
        </w:rPr>
        <w:t>[15][46][47][53]</w:t>
      </w:r>
      <w:r>
        <w:t xml:space="preserve"> </w:t>
      </w:r>
      <w:r>
        <w:rPr>
          <w:rFonts w:hint="eastAsia"/>
        </w:rPr>
        <w:t>但对售电公司这种带有滚动状态反馈的经营决策，仍需要与序贯学习方法结合。</w:t>
      </w:r>
      <w:r>
        <w:rPr>
          <w:rFonts w:hint="eastAsia"/>
        </w:rPr>
        <w:t>[50]</w:t>
      </w:r>
    </w:p>
    <w:p w14:paraId="357B3859" w14:textId="77777777" w:rsidR="00295573" w:rsidRDefault="00000000">
      <w:pPr>
        <w:pStyle w:val="a0"/>
      </w:pPr>
      <w:r>
        <w:rPr>
          <w:rFonts w:hint="eastAsia"/>
        </w:rPr>
        <w:t>基于此，本文的切入点是：以湖南电力市场中的售电公司为唯一经营主体，在</w:t>
      </w:r>
      <w:r>
        <w:rPr>
          <w:rFonts w:hint="eastAsia"/>
        </w:rPr>
        <w:t>2025</w:t>
      </w:r>
      <w:r>
        <w:rPr>
          <w:rFonts w:hint="eastAsia"/>
        </w:rPr>
        <w:t>年</w:t>
      </w:r>
      <w:r>
        <w:rPr>
          <w:rFonts w:hint="eastAsia"/>
        </w:rPr>
        <w:t>11</w:t>
      </w:r>
      <w:r>
        <w:rPr>
          <w:rFonts w:hint="eastAsia"/>
        </w:rPr>
        <w:t>月</w:t>
      </w:r>
      <w:r>
        <w:rPr>
          <w:rFonts w:hint="eastAsia"/>
        </w:rPr>
        <w:t>1</w:t>
      </w:r>
      <w:r>
        <w:rPr>
          <w:rFonts w:hint="eastAsia"/>
        </w:rPr>
        <w:t>日至</w:t>
      </w:r>
      <w:r>
        <w:rPr>
          <w:rFonts w:hint="eastAsia"/>
        </w:rPr>
        <w:t>2026</w:t>
      </w:r>
      <w:r>
        <w:rPr>
          <w:rFonts w:hint="eastAsia"/>
        </w:rPr>
        <w:t>年</w:t>
      </w:r>
      <w:r>
        <w:rPr>
          <w:rFonts w:hint="eastAsia"/>
        </w:rPr>
        <w:t>3</w:t>
      </w:r>
      <w:r>
        <w:rPr>
          <w:rFonts w:hint="eastAsia"/>
        </w:rPr>
        <w:t>月</w:t>
      </w:r>
      <w:r>
        <w:rPr>
          <w:rFonts w:hint="eastAsia"/>
        </w:rPr>
        <w:t>20</w:t>
      </w:r>
      <w:r>
        <w:rPr>
          <w:rFonts w:hint="eastAsia"/>
        </w:rPr>
        <w:t>日的枯水期窗口内，把周度中长期底仓决策、小时级现货边际风险对冲和</w:t>
      </w:r>
      <w:r>
        <w:rPr>
          <w:rFonts w:hint="eastAsia"/>
        </w:rPr>
        <w:t>15</w:t>
      </w:r>
      <w:r>
        <w:rPr>
          <w:rFonts w:hint="eastAsia"/>
        </w:rPr>
        <w:t>分钟代理结算回测纳入统一的主动管理框架；同时，严格按照制度生效时间处理政策边界，避免将后续规则前置到不适用的样本区间。这样既能保持研究对象和市场边界的清晰，又能使模型更贴近售电公司在真实经营中的决策语义。</w:t>
      </w:r>
    </w:p>
    <w:p w14:paraId="532D804E" w14:textId="77777777" w:rsidR="00295573" w:rsidRDefault="00000000">
      <w:pPr>
        <w:pStyle w:val="2"/>
      </w:pPr>
      <w:bookmarkStart w:id="3" w:name="引用核对表"/>
      <w:bookmarkEnd w:id="2"/>
      <w:r>
        <w:rPr>
          <w:rFonts w:hint="eastAsia"/>
        </w:rPr>
        <w:t>引用核对表</w:t>
      </w:r>
    </w:p>
    <w:tbl>
      <w:tblPr>
        <w:tblStyle w:val="Table"/>
        <w:tblW w:w="0" w:type="auto"/>
        <w:tblLook w:val="0020" w:firstRow="1" w:lastRow="0" w:firstColumn="0" w:lastColumn="0" w:noHBand="0" w:noVBand="0"/>
      </w:tblPr>
      <w:tblGrid>
        <w:gridCol w:w="716"/>
        <w:gridCol w:w="4013"/>
        <w:gridCol w:w="1432"/>
        <w:gridCol w:w="2695"/>
      </w:tblGrid>
      <w:tr w:rsidR="00295573" w14:paraId="567CC482" w14:textId="77777777" w:rsidTr="00295573">
        <w:trPr>
          <w:cnfStyle w:val="100000000000" w:firstRow="1" w:lastRow="0" w:firstColumn="0" w:lastColumn="0" w:oddVBand="0" w:evenVBand="0" w:oddHBand="0" w:evenHBand="0" w:firstRowFirstColumn="0" w:firstRowLastColumn="0" w:lastRowFirstColumn="0" w:lastRowLastColumn="0"/>
          <w:tblHeader/>
        </w:trPr>
        <w:tc>
          <w:tcPr>
            <w:tcW w:w="0" w:type="auto"/>
          </w:tcPr>
          <w:p w14:paraId="139FFF3D" w14:textId="77777777" w:rsidR="00295573" w:rsidRDefault="00000000">
            <w:pPr>
              <w:pStyle w:val="Compact"/>
            </w:pPr>
            <w:r>
              <w:rPr>
                <w:rFonts w:hint="eastAsia"/>
              </w:rPr>
              <w:t>引用编号</w:t>
            </w:r>
          </w:p>
        </w:tc>
        <w:tc>
          <w:tcPr>
            <w:tcW w:w="0" w:type="auto"/>
          </w:tcPr>
          <w:p w14:paraId="7C0F84E6" w14:textId="77777777" w:rsidR="00295573" w:rsidRDefault="00000000">
            <w:pPr>
              <w:pStyle w:val="Compact"/>
            </w:pPr>
            <w:r>
              <w:rPr>
                <w:rFonts w:hint="eastAsia"/>
              </w:rPr>
              <w:t>对应文献题名</w:t>
            </w:r>
          </w:p>
        </w:tc>
        <w:tc>
          <w:tcPr>
            <w:tcW w:w="0" w:type="auto"/>
          </w:tcPr>
          <w:p w14:paraId="7A6A5F2A" w14:textId="77777777" w:rsidR="00295573" w:rsidRDefault="00000000">
            <w:pPr>
              <w:pStyle w:val="Compact"/>
            </w:pPr>
            <w:r>
              <w:rPr>
                <w:rFonts w:hint="eastAsia"/>
              </w:rPr>
              <w:t>使用位置</w:t>
            </w:r>
          </w:p>
        </w:tc>
        <w:tc>
          <w:tcPr>
            <w:tcW w:w="0" w:type="auto"/>
          </w:tcPr>
          <w:p w14:paraId="5DD1D8F3" w14:textId="77777777" w:rsidR="00295573" w:rsidRDefault="00000000">
            <w:pPr>
              <w:pStyle w:val="Compact"/>
            </w:pPr>
            <w:r>
              <w:rPr>
                <w:rFonts w:hint="eastAsia"/>
              </w:rPr>
              <w:t>支撑的论点</w:t>
            </w:r>
          </w:p>
        </w:tc>
      </w:tr>
      <w:tr w:rsidR="00295573" w14:paraId="301D6A4D" w14:textId="77777777">
        <w:tc>
          <w:tcPr>
            <w:tcW w:w="0" w:type="auto"/>
          </w:tcPr>
          <w:p w14:paraId="0B8B8E17" w14:textId="77777777" w:rsidR="00295573" w:rsidRDefault="00000000">
            <w:pPr>
              <w:pStyle w:val="Compact"/>
            </w:pPr>
            <w:r>
              <w:t>[1]</w:t>
            </w:r>
          </w:p>
        </w:tc>
        <w:tc>
          <w:tcPr>
            <w:tcW w:w="0" w:type="auto"/>
          </w:tcPr>
          <w:p w14:paraId="03D6BA30" w14:textId="77777777" w:rsidR="00295573" w:rsidRDefault="00000000">
            <w:pPr>
              <w:pStyle w:val="Compact"/>
            </w:pPr>
            <w:r>
              <w:rPr>
                <w:rFonts w:hint="eastAsia"/>
              </w:rPr>
              <w:t>电力差价合约机制设计与应用</w:t>
            </w:r>
          </w:p>
        </w:tc>
        <w:tc>
          <w:tcPr>
            <w:tcW w:w="0" w:type="auto"/>
          </w:tcPr>
          <w:p w14:paraId="5FB16EE5" w14:textId="77777777" w:rsidR="00295573" w:rsidRDefault="00000000">
            <w:pPr>
              <w:pStyle w:val="Compact"/>
            </w:pPr>
            <w:r>
              <w:rPr>
                <w:rFonts w:hint="eastAsia"/>
              </w:rPr>
              <w:t>第一章</w:t>
            </w:r>
            <w:r>
              <w:rPr>
                <w:rFonts w:hint="eastAsia"/>
              </w:rPr>
              <w:t>1.1</w:t>
            </w:r>
            <w:r>
              <w:rPr>
                <w:rFonts w:hint="eastAsia"/>
              </w:rPr>
              <w:t>、</w:t>
            </w:r>
            <w:r>
              <w:rPr>
                <w:rFonts w:hint="eastAsia"/>
              </w:rPr>
              <w:t>1.2</w:t>
            </w:r>
            <w:r>
              <w:rPr>
                <w:rFonts w:hint="eastAsia"/>
              </w:rPr>
              <w:t>；第二章</w:t>
            </w:r>
            <w:r>
              <w:rPr>
                <w:rFonts w:hint="eastAsia"/>
              </w:rPr>
              <w:t>2.1</w:t>
            </w:r>
          </w:p>
        </w:tc>
        <w:tc>
          <w:tcPr>
            <w:tcW w:w="0" w:type="auto"/>
          </w:tcPr>
          <w:p w14:paraId="34F82E85" w14:textId="77777777" w:rsidR="00295573" w:rsidRDefault="00000000">
            <w:pPr>
              <w:pStyle w:val="Compact"/>
            </w:pPr>
            <w:r>
              <w:rPr>
                <w:rFonts w:hint="eastAsia"/>
              </w:rPr>
              <w:t>差价合约属于价格锁定与风险对冲工具，中长期合约应理解为结算性安排</w:t>
            </w:r>
          </w:p>
        </w:tc>
      </w:tr>
      <w:tr w:rsidR="00295573" w14:paraId="06A3DDD5" w14:textId="77777777">
        <w:tc>
          <w:tcPr>
            <w:tcW w:w="0" w:type="auto"/>
          </w:tcPr>
          <w:p w14:paraId="7383D879" w14:textId="77777777" w:rsidR="00295573" w:rsidRDefault="00000000">
            <w:pPr>
              <w:pStyle w:val="Compact"/>
            </w:pPr>
            <w:r>
              <w:t>[2]</w:t>
            </w:r>
          </w:p>
        </w:tc>
        <w:tc>
          <w:tcPr>
            <w:tcW w:w="0" w:type="auto"/>
          </w:tcPr>
          <w:p w14:paraId="24148542" w14:textId="77777777" w:rsidR="00295573" w:rsidRDefault="00000000">
            <w:pPr>
              <w:pStyle w:val="Compact"/>
            </w:pPr>
            <w:r>
              <w:rPr>
                <w:rFonts w:hint="eastAsia"/>
              </w:rPr>
              <w:t>电力零售核心业务架构与购售电决策</w:t>
            </w:r>
          </w:p>
        </w:tc>
        <w:tc>
          <w:tcPr>
            <w:tcW w:w="0" w:type="auto"/>
          </w:tcPr>
          <w:p w14:paraId="4248ECA6" w14:textId="77777777" w:rsidR="00295573" w:rsidRDefault="00000000">
            <w:pPr>
              <w:pStyle w:val="Compact"/>
            </w:pPr>
            <w:r>
              <w:rPr>
                <w:rFonts w:hint="eastAsia"/>
              </w:rPr>
              <w:t>第二章</w:t>
            </w:r>
            <w:r>
              <w:rPr>
                <w:rFonts w:hint="eastAsia"/>
              </w:rPr>
              <w:t>2.2</w:t>
            </w:r>
          </w:p>
        </w:tc>
        <w:tc>
          <w:tcPr>
            <w:tcW w:w="0" w:type="auto"/>
          </w:tcPr>
          <w:p w14:paraId="02AB7493" w14:textId="77777777" w:rsidR="00295573" w:rsidRDefault="00000000">
            <w:pPr>
              <w:pStyle w:val="Compact"/>
            </w:pPr>
            <w:r>
              <w:rPr>
                <w:rFonts w:hint="eastAsia"/>
              </w:rPr>
              <w:t>售电公司经营链条包含负荷预测、购电、定价与风险管理等核心环节</w:t>
            </w:r>
          </w:p>
        </w:tc>
      </w:tr>
      <w:tr w:rsidR="00295573" w14:paraId="7DD51B20" w14:textId="77777777">
        <w:tc>
          <w:tcPr>
            <w:tcW w:w="0" w:type="auto"/>
          </w:tcPr>
          <w:p w14:paraId="5781F139" w14:textId="77777777" w:rsidR="00295573" w:rsidRDefault="00000000">
            <w:pPr>
              <w:pStyle w:val="Compact"/>
            </w:pPr>
            <w:r>
              <w:t>[3]</w:t>
            </w:r>
          </w:p>
        </w:tc>
        <w:tc>
          <w:tcPr>
            <w:tcW w:w="0" w:type="auto"/>
          </w:tcPr>
          <w:p w14:paraId="2F0FF50F" w14:textId="77777777" w:rsidR="00295573" w:rsidRDefault="00000000">
            <w:pPr>
              <w:pStyle w:val="Compact"/>
            </w:pPr>
            <w:r>
              <w:rPr>
                <w:rFonts w:hint="eastAsia"/>
              </w:rPr>
              <w:t>电力市场、碳市场及绿证市场互动机理及协调机制</w:t>
            </w:r>
          </w:p>
        </w:tc>
        <w:tc>
          <w:tcPr>
            <w:tcW w:w="0" w:type="auto"/>
          </w:tcPr>
          <w:p w14:paraId="12391772" w14:textId="77777777" w:rsidR="00295573" w:rsidRDefault="00000000">
            <w:pPr>
              <w:pStyle w:val="Compact"/>
            </w:pPr>
            <w:r>
              <w:rPr>
                <w:rFonts w:hint="eastAsia"/>
              </w:rPr>
              <w:t>第一章</w:t>
            </w:r>
            <w:r>
              <w:rPr>
                <w:rFonts w:hint="eastAsia"/>
              </w:rPr>
              <w:t>1.1</w:t>
            </w:r>
            <w:r>
              <w:rPr>
                <w:rFonts w:hint="eastAsia"/>
              </w:rPr>
              <w:t>；第二</w:t>
            </w:r>
            <w:r>
              <w:rPr>
                <w:rFonts w:hint="eastAsia"/>
              </w:rPr>
              <w:lastRenderedPageBreak/>
              <w:t>章</w:t>
            </w:r>
            <w:r>
              <w:rPr>
                <w:rFonts w:hint="eastAsia"/>
              </w:rPr>
              <w:t>2.3</w:t>
            </w:r>
            <w:r>
              <w:rPr>
                <w:rFonts w:hint="eastAsia"/>
              </w:rPr>
              <w:t>、</w:t>
            </w:r>
            <w:r>
              <w:rPr>
                <w:rFonts w:hint="eastAsia"/>
              </w:rPr>
              <w:t>2.6</w:t>
            </w:r>
          </w:p>
        </w:tc>
        <w:tc>
          <w:tcPr>
            <w:tcW w:w="0" w:type="auto"/>
          </w:tcPr>
          <w:p w14:paraId="33451F78" w14:textId="77777777" w:rsidR="00295573" w:rsidRDefault="00000000">
            <w:pPr>
              <w:pStyle w:val="Compact"/>
            </w:pPr>
            <w:r>
              <w:rPr>
                <w:rFonts w:hint="eastAsia"/>
              </w:rPr>
              <w:lastRenderedPageBreak/>
              <w:t>新能源市场化会通过价格信号和制度协同影响</w:t>
            </w:r>
            <w:r>
              <w:rPr>
                <w:rFonts w:hint="eastAsia"/>
              </w:rPr>
              <w:lastRenderedPageBreak/>
              <w:t>售电公司决策环境</w:t>
            </w:r>
          </w:p>
        </w:tc>
      </w:tr>
      <w:tr w:rsidR="00295573" w14:paraId="47478AB2" w14:textId="77777777">
        <w:tc>
          <w:tcPr>
            <w:tcW w:w="0" w:type="auto"/>
          </w:tcPr>
          <w:p w14:paraId="737EA756" w14:textId="77777777" w:rsidR="00295573" w:rsidRDefault="00000000">
            <w:pPr>
              <w:pStyle w:val="Compact"/>
            </w:pPr>
            <w:r>
              <w:lastRenderedPageBreak/>
              <w:t>[4]</w:t>
            </w:r>
          </w:p>
        </w:tc>
        <w:tc>
          <w:tcPr>
            <w:tcW w:w="0" w:type="auto"/>
          </w:tcPr>
          <w:p w14:paraId="5CE6933D" w14:textId="77777777" w:rsidR="00295573" w:rsidRDefault="00000000">
            <w:pPr>
              <w:pStyle w:val="Compact"/>
            </w:pPr>
            <w:r>
              <w:rPr>
                <w:rFonts w:hint="eastAsia"/>
              </w:rPr>
              <w:t>电力市场环境下的差价合约电量分解问题</w:t>
            </w:r>
          </w:p>
        </w:tc>
        <w:tc>
          <w:tcPr>
            <w:tcW w:w="0" w:type="auto"/>
          </w:tcPr>
          <w:p w14:paraId="14AB74E3" w14:textId="77777777" w:rsidR="00295573" w:rsidRDefault="00000000">
            <w:pPr>
              <w:pStyle w:val="Compact"/>
            </w:pPr>
            <w:r>
              <w:rPr>
                <w:rFonts w:hint="eastAsia"/>
              </w:rPr>
              <w:t>第一章</w:t>
            </w:r>
            <w:r>
              <w:rPr>
                <w:rFonts w:hint="eastAsia"/>
              </w:rPr>
              <w:t>1.1</w:t>
            </w:r>
            <w:r>
              <w:rPr>
                <w:rFonts w:hint="eastAsia"/>
              </w:rPr>
              <w:t>、</w:t>
            </w:r>
            <w:r>
              <w:rPr>
                <w:rFonts w:hint="eastAsia"/>
              </w:rPr>
              <w:t>1.2</w:t>
            </w:r>
            <w:r>
              <w:rPr>
                <w:rFonts w:hint="eastAsia"/>
              </w:rPr>
              <w:t>；第二章</w:t>
            </w:r>
            <w:r>
              <w:rPr>
                <w:rFonts w:hint="eastAsia"/>
              </w:rPr>
              <w:t>2.1</w:t>
            </w:r>
          </w:p>
        </w:tc>
        <w:tc>
          <w:tcPr>
            <w:tcW w:w="0" w:type="auto"/>
          </w:tcPr>
          <w:p w14:paraId="10AFE742" w14:textId="77777777" w:rsidR="00295573" w:rsidRDefault="00000000">
            <w:pPr>
              <w:pStyle w:val="Compact"/>
            </w:pPr>
            <w:r>
              <w:rPr>
                <w:rFonts w:hint="eastAsia"/>
              </w:rPr>
              <w:t>中长期合约是金融化、结算化合同，需要分解为分时曲线，不应写成物理执行计划</w:t>
            </w:r>
          </w:p>
        </w:tc>
      </w:tr>
      <w:tr w:rsidR="00295573" w14:paraId="1925AA2E" w14:textId="77777777">
        <w:tc>
          <w:tcPr>
            <w:tcW w:w="0" w:type="auto"/>
          </w:tcPr>
          <w:p w14:paraId="1EA09F97" w14:textId="77777777" w:rsidR="00295573" w:rsidRDefault="00000000">
            <w:pPr>
              <w:pStyle w:val="Compact"/>
            </w:pPr>
            <w:r>
              <w:t>[5]</w:t>
            </w:r>
          </w:p>
        </w:tc>
        <w:tc>
          <w:tcPr>
            <w:tcW w:w="0" w:type="auto"/>
          </w:tcPr>
          <w:p w14:paraId="13171DEE" w14:textId="77777777" w:rsidR="00295573" w:rsidRDefault="00000000">
            <w:pPr>
              <w:pStyle w:val="Compact"/>
            </w:pPr>
            <w:r>
              <w:rPr>
                <w:rFonts w:hint="eastAsia"/>
              </w:rPr>
              <w:t>电力市场中基于</w:t>
            </w:r>
            <w:r>
              <w:rPr>
                <w:rFonts w:hint="eastAsia"/>
              </w:rPr>
              <w:t>Attention-LSTM</w:t>
            </w:r>
            <w:r>
              <w:rPr>
                <w:rFonts w:hint="eastAsia"/>
              </w:rPr>
              <w:t>的短期负荷预测模型</w:t>
            </w:r>
          </w:p>
        </w:tc>
        <w:tc>
          <w:tcPr>
            <w:tcW w:w="0" w:type="auto"/>
          </w:tcPr>
          <w:p w14:paraId="78E3DE2B" w14:textId="77777777" w:rsidR="00295573" w:rsidRDefault="00000000">
            <w:pPr>
              <w:pStyle w:val="Compact"/>
            </w:pPr>
            <w:r>
              <w:rPr>
                <w:rFonts w:hint="eastAsia"/>
              </w:rPr>
              <w:t>第一章</w:t>
            </w:r>
            <w:r>
              <w:rPr>
                <w:rFonts w:hint="eastAsia"/>
              </w:rPr>
              <w:t>1.1</w:t>
            </w:r>
            <w:r>
              <w:rPr>
                <w:rFonts w:hint="eastAsia"/>
              </w:rPr>
              <w:t>；第二章</w:t>
            </w:r>
            <w:r>
              <w:rPr>
                <w:rFonts w:hint="eastAsia"/>
              </w:rPr>
              <w:t>2.3</w:t>
            </w:r>
          </w:p>
        </w:tc>
        <w:tc>
          <w:tcPr>
            <w:tcW w:w="0" w:type="auto"/>
          </w:tcPr>
          <w:p w14:paraId="58CF05FD" w14:textId="77777777" w:rsidR="00295573" w:rsidRDefault="00000000">
            <w:pPr>
              <w:pStyle w:val="Compact"/>
            </w:pPr>
            <w:r>
              <w:rPr>
                <w:rFonts w:hint="eastAsia"/>
              </w:rPr>
              <w:t>负荷预测误差会改变合同覆盖率与现货暴露，预测能力是风险管理前提</w:t>
            </w:r>
          </w:p>
        </w:tc>
      </w:tr>
      <w:tr w:rsidR="00295573" w14:paraId="7B226A11" w14:textId="77777777">
        <w:tc>
          <w:tcPr>
            <w:tcW w:w="0" w:type="auto"/>
          </w:tcPr>
          <w:p w14:paraId="54FE766F" w14:textId="77777777" w:rsidR="00295573" w:rsidRDefault="00000000">
            <w:pPr>
              <w:pStyle w:val="Compact"/>
            </w:pPr>
            <w:r>
              <w:t>[7]</w:t>
            </w:r>
          </w:p>
        </w:tc>
        <w:tc>
          <w:tcPr>
            <w:tcW w:w="0" w:type="auto"/>
          </w:tcPr>
          <w:p w14:paraId="4112645B" w14:textId="77777777" w:rsidR="00295573" w:rsidRDefault="00000000">
            <w:pPr>
              <w:pStyle w:val="Compact"/>
            </w:pPr>
            <w:r>
              <w:rPr>
                <w:rFonts w:hint="eastAsia"/>
              </w:rPr>
              <w:t>国内外促进可再生能源消纳的电力现货市场发展综述与思考</w:t>
            </w:r>
          </w:p>
        </w:tc>
        <w:tc>
          <w:tcPr>
            <w:tcW w:w="0" w:type="auto"/>
          </w:tcPr>
          <w:p w14:paraId="79A0BD57" w14:textId="77777777" w:rsidR="00295573" w:rsidRDefault="00000000">
            <w:pPr>
              <w:pStyle w:val="Compact"/>
            </w:pPr>
            <w:r>
              <w:rPr>
                <w:rFonts w:hint="eastAsia"/>
              </w:rPr>
              <w:t>第一章</w:t>
            </w:r>
            <w:r>
              <w:rPr>
                <w:rFonts w:hint="eastAsia"/>
              </w:rPr>
              <w:t>1.1</w:t>
            </w:r>
            <w:r>
              <w:rPr>
                <w:rFonts w:hint="eastAsia"/>
              </w:rPr>
              <w:t>；第二章</w:t>
            </w:r>
            <w:r>
              <w:rPr>
                <w:rFonts w:hint="eastAsia"/>
              </w:rPr>
              <w:t>2.3</w:t>
            </w:r>
            <w:r>
              <w:rPr>
                <w:rFonts w:hint="eastAsia"/>
              </w:rPr>
              <w:t>、</w:t>
            </w:r>
            <w:r>
              <w:rPr>
                <w:rFonts w:hint="eastAsia"/>
              </w:rPr>
              <w:t>2.6</w:t>
            </w:r>
          </w:p>
        </w:tc>
        <w:tc>
          <w:tcPr>
            <w:tcW w:w="0" w:type="auto"/>
          </w:tcPr>
          <w:p w14:paraId="268C9AFC" w14:textId="77777777" w:rsidR="00295573" w:rsidRDefault="00000000">
            <w:pPr>
              <w:pStyle w:val="Compact"/>
            </w:pPr>
            <w:r>
              <w:rPr>
                <w:rFonts w:hint="eastAsia"/>
              </w:rPr>
              <w:t>新能源不确定性会通过现货市场放大价格波动，现货机制与消纳激励密切相关</w:t>
            </w:r>
          </w:p>
        </w:tc>
      </w:tr>
      <w:tr w:rsidR="00295573" w14:paraId="6D4C8A02" w14:textId="77777777">
        <w:tc>
          <w:tcPr>
            <w:tcW w:w="0" w:type="auto"/>
          </w:tcPr>
          <w:p w14:paraId="724C1B0A" w14:textId="77777777" w:rsidR="00295573" w:rsidRDefault="00000000">
            <w:pPr>
              <w:pStyle w:val="Compact"/>
            </w:pPr>
            <w:r>
              <w:t>[9]</w:t>
            </w:r>
          </w:p>
        </w:tc>
        <w:tc>
          <w:tcPr>
            <w:tcW w:w="0" w:type="auto"/>
          </w:tcPr>
          <w:p w14:paraId="6CB63B0D" w14:textId="77777777" w:rsidR="00295573" w:rsidRDefault="00000000">
            <w:pPr>
              <w:pStyle w:val="Compact"/>
            </w:pPr>
            <w:r>
              <w:rPr>
                <w:rFonts w:hint="eastAsia"/>
              </w:rPr>
              <w:t>国外电力现货市场建设的逻辑分析及对中国的启示与建议</w:t>
            </w:r>
          </w:p>
        </w:tc>
        <w:tc>
          <w:tcPr>
            <w:tcW w:w="0" w:type="auto"/>
          </w:tcPr>
          <w:p w14:paraId="26045BA2" w14:textId="77777777" w:rsidR="00295573" w:rsidRDefault="00000000">
            <w:pPr>
              <w:pStyle w:val="Compact"/>
            </w:pPr>
            <w:r>
              <w:rPr>
                <w:rFonts w:hint="eastAsia"/>
              </w:rPr>
              <w:t>第一章</w:t>
            </w:r>
            <w:r>
              <w:rPr>
                <w:rFonts w:hint="eastAsia"/>
              </w:rPr>
              <w:t>1.1</w:t>
            </w:r>
            <w:r>
              <w:rPr>
                <w:rFonts w:hint="eastAsia"/>
              </w:rPr>
              <w:t>；第二章</w:t>
            </w:r>
            <w:r>
              <w:rPr>
                <w:rFonts w:hint="eastAsia"/>
              </w:rPr>
              <w:t>2.1</w:t>
            </w:r>
          </w:p>
        </w:tc>
        <w:tc>
          <w:tcPr>
            <w:tcW w:w="0" w:type="auto"/>
          </w:tcPr>
          <w:p w14:paraId="103C1DB6" w14:textId="77777777" w:rsidR="00295573" w:rsidRDefault="00000000">
            <w:pPr>
              <w:pStyle w:val="Compact"/>
            </w:pPr>
            <w:r>
              <w:rPr>
                <w:rFonts w:hint="eastAsia"/>
              </w:rPr>
              <w:t>现货市场承担价格发现与市场协调功能，是市场体系的重要环节</w:t>
            </w:r>
          </w:p>
        </w:tc>
      </w:tr>
      <w:tr w:rsidR="00295573" w14:paraId="1B40ABAB" w14:textId="77777777">
        <w:tc>
          <w:tcPr>
            <w:tcW w:w="0" w:type="auto"/>
          </w:tcPr>
          <w:p w14:paraId="2C576617" w14:textId="77777777" w:rsidR="00295573" w:rsidRDefault="00000000">
            <w:pPr>
              <w:pStyle w:val="Compact"/>
            </w:pPr>
            <w:r>
              <w:t>[11]</w:t>
            </w:r>
          </w:p>
        </w:tc>
        <w:tc>
          <w:tcPr>
            <w:tcW w:w="0" w:type="auto"/>
          </w:tcPr>
          <w:p w14:paraId="2FF44178" w14:textId="77777777" w:rsidR="00295573" w:rsidRDefault="00000000">
            <w:pPr>
              <w:pStyle w:val="Compact"/>
            </w:pPr>
            <w:r>
              <w:rPr>
                <w:rFonts w:hint="eastAsia"/>
              </w:rPr>
              <w:t>基于能源转型的中国特色电力市场建设的分析与思考</w:t>
            </w:r>
          </w:p>
        </w:tc>
        <w:tc>
          <w:tcPr>
            <w:tcW w:w="0" w:type="auto"/>
          </w:tcPr>
          <w:p w14:paraId="48806C83" w14:textId="77777777" w:rsidR="00295573" w:rsidRDefault="00000000">
            <w:pPr>
              <w:pStyle w:val="Compact"/>
            </w:pPr>
            <w:r>
              <w:rPr>
                <w:rFonts w:hint="eastAsia"/>
              </w:rPr>
              <w:t>第一章</w:t>
            </w:r>
            <w:r>
              <w:rPr>
                <w:rFonts w:hint="eastAsia"/>
              </w:rPr>
              <w:t>1.1</w:t>
            </w:r>
            <w:r>
              <w:rPr>
                <w:rFonts w:hint="eastAsia"/>
              </w:rPr>
              <w:t>；第二章</w:t>
            </w:r>
            <w:r>
              <w:rPr>
                <w:rFonts w:hint="eastAsia"/>
              </w:rPr>
              <w:t>2.1</w:t>
            </w:r>
          </w:p>
        </w:tc>
        <w:tc>
          <w:tcPr>
            <w:tcW w:w="0" w:type="auto"/>
          </w:tcPr>
          <w:p w14:paraId="01CFC838" w14:textId="77777777" w:rsidR="00295573" w:rsidRDefault="00000000">
            <w:pPr>
              <w:pStyle w:val="Compact"/>
            </w:pPr>
            <w:r>
              <w:rPr>
                <w:rFonts w:hint="eastAsia"/>
              </w:rPr>
              <w:t>能源转型背景下电力市场建设需要兼顾市场化与系统运行要求</w:t>
            </w:r>
          </w:p>
        </w:tc>
      </w:tr>
      <w:tr w:rsidR="00295573" w14:paraId="38F7A2E9" w14:textId="77777777">
        <w:tc>
          <w:tcPr>
            <w:tcW w:w="0" w:type="auto"/>
          </w:tcPr>
          <w:p w14:paraId="1B066FC1" w14:textId="77777777" w:rsidR="00295573" w:rsidRDefault="00000000">
            <w:pPr>
              <w:pStyle w:val="Compact"/>
            </w:pPr>
            <w:r>
              <w:t>[13]</w:t>
            </w:r>
          </w:p>
        </w:tc>
        <w:tc>
          <w:tcPr>
            <w:tcW w:w="0" w:type="auto"/>
          </w:tcPr>
          <w:p w14:paraId="60FA052B" w14:textId="77777777" w:rsidR="00295573" w:rsidRDefault="00000000">
            <w:pPr>
              <w:pStyle w:val="Compact"/>
            </w:pPr>
            <w:r>
              <w:rPr>
                <w:rFonts w:hint="eastAsia"/>
              </w:rPr>
              <w:t>计及风险规避的售电公司平衡市场优化交易策略研究</w:t>
            </w:r>
          </w:p>
        </w:tc>
        <w:tc>
          <w:tcPr>
            <w:tcW w:w="0" w:type="auto"/>
          </w:tcPr>
          <w:p w14:paraId="72A53C74" w14:textId="77777777" w:rsidR="00295573" w:rsidRDefault="00000000">
            <w:pPr>
              <w:pStyle w:val="Compact"/>
            </w:pPr>
            <w:r>
              <w:rPr>
                <w:rFonts w:hint="eastAsia"/>
              </w:rPr>
              <w:t>第二章</w:t>
            </w:r>
            <w:r>
              <w:rPr>
                <w:rFonts w:hint="eastAsia"/>
              </w:rPr>
              <w:t>2.2</w:t>
            </w:r>
            <w:r>
              <w:rPr>
                <w:rFonts w:hint="eastAsia"/>
              </w:rPr>
              <w:t>、</w:t>
            </w:r>
            <w:r>
              <w:rPr>
                <w:rFonts w:hint="eastAsia"/>
              </w:rPr>
              <w:t>2.5</w:t>
            </w:r>
          </w:p>
        </w:tc>
        <w:tc>
          <w:tcPr>
            <w:tcW w:w="0" w:type="auto"/>
          </w:tcPr>
          <w:p w14:paraId="480D1551" w14:textId="77777777" w:rsidR="00295573" w:rsidRDefault="00000000">
            <w:pPr>
              <w:pStyle w:val="Compact"/>
            </w:pPr>
            <w:r>
              <w:rPr>
                <w:rFonts w:hint="eastAsia"/>
              </w:rPr>
              <w:t>售电公司风险管理研究可通过</w:t>
            </w:r>
            <w:r>
              <w:rPr>
                <w:rFonts w:hint="eastAsia"/>
              </w:rPr>
              <w:t>CVaR</w:t>
            </w:r>
            <w:r>
              <w:rPr>
                <w:rFonts w:hint="eastAsia"/>
              </w:rPr>
              <w:t>等指标纳入收益—风险权衡</w:t>
            </w:r>
          </w:p>
        </w:tc>
      </w:tr>
      <w:tr w:rsidR="00295573" w14:paraId="51D55DE6" w14:textId="77777777">
        <w:tc>
          <w:tcPr>
            <w:tcW w:w="0" w:type="auto"/>
          </w:tcPr>
          <w:p w14:paraId="0F31A05C" w14:textId="77777777" w:rsidR="00295573" w:rsidRDefault="00000000">
            <w:pPr>
              <w:pStyle w:val="Compact"/>
            </w:pPr>
            <w:r>
              <w:t>[14]</w:t>
            </w:r>
          </w:p>
        </w:tc>
        <w:tc>
          <w:tcPr>
            <w:tcW w:w="0" w:type="auto"/>
          </w:tcPr>
          <w:p w14:paraId="7DE1A97B" w14:textId="77777777" w:rsidR="00295573" w:rsidRDefault="00000000">
            <w:pPr>
              <w:pStyle w:val="Compact"/>
            </w:pPr>
            <w:r>
              <w:rPr>
                <w:rFonts w:hint="eastAsia"/>
              </w:rPr>
              <w:t>考虑用户需求响应的售电公司购售电决策双层模型</w:t>
            </w:r>
          </w:p>
        </w:tc>
        <w:tc>
          <w:tcPr>
            <w:tcW w:w="0" w:type="auto"/>
          </w:tcPr>
          <w:p w14:paraId="552FDF80" w14:textId="77777777" w:rsidR="00295573" w:rsidRDefault="00000000">
            <w:pPr>
              <w:pStyle w:val="Compact"/>
            </w:pPr>
            <w:r>
              <w:rPr>
                <w:rFonts w:hint="eastAsia"/>
              </w:rPr>
              <w:t>第二章</w:t>
            </w:r>
            <w:r>
              <w:rPr>
                <w:rFonts w:hint="eastAsia"/>
              </w:rPr>
              <w:t>2.2</w:t>
            </w:r>
          </w:p>
        </w:tc>
        <w:tc>
          <w:tcPr>
            <w:tcW w:w="0" w:type="auto"/>
          </w:tcPr>
          <w:p w14:paraId="289E093E" w14:textId="77777777" w:rsidR="00295573" w:rsidRDefault="00000000">
            <w:pPr>
              <w:pStyle w:val="Compact"/>
            </w:pPr>
            <w:r>
              <w:rPr>
                <w:rFonts w:hint="eastAsia"/>
              </w:rPr>
              <w:t>售电公司购售电决策可置于双层优化与需求响应参与框架中分析</w:t>
            </w:r>
          </w:p>
        </w:tc>
      </w:tr>
      <w:tr w:rsidR="00295573" w14:paraId="50200B87" w14:textId="77777777">
        <w:tc>
          <w:tcPr>
            <w:tcW w:w="0" w:type="auto"/>
          </w:tcPr>
          <w:p w14:paraId="01801A3F" w14:textId="77777777" w:rsidR="00295573" w:rsidRDefault="00000000">
            <w:pPr>
              <w:pStyle w:val="Compact"/>
            </w:pPr>
            <w:r>
              <w:t>[15]</w:t>
            </w:r>
          </w:p>
        </w:tc>
        <w:tc>
          <w:tcPr>
            <w:tcW w:w="0" w:type="auto"/>
          </w:tcPr>
          <w:p w14:paraId="2A7BA6A0" w14:textId="77777777" w:rsidR="00295573" w:rsidRDefault="00000000">
            <w:pPr>
              <w:pStyle w:val="Compact"/>
            </w:pPr>
            <w:r>
              <w:rPr>
                <w:rFonts w:hint="eastAsia"/>
              </w:rPr>
              <w:t>两级电力市场环境下考虑多类型零售套餐的售电公司购售电策略</w:t>
            </w:r>
          </w:p>
        </w:tc>
        <w:tc>
          <w:tcPr>
            <w:tcW w:w="0" w:type="auto"/>
          </w:tcPr>
          <w:p w14:paraId="64B40364" w14:textId="77777777" w:rsidR="00295573" w:rsidRDefault="00000000">
            <w:pPr>
              <w:pStyle w:val="Compact"/>
            </w:pPr>
            <w:r>
              <w:rPr>
                <w:rFonts w:hint="eastAsia"/>
              </w:rPr>
              <w:t>第二章</w:t>
            </w:r>
            <w:r>
              <w:rPr>
                <w:rFonts w:hint="eastAsia"/>
              </w:rPr>
              <w:t>2.2</w:t>
            </w:r>
            <w:r>
              <w:rPr>
                <w:rFonts w:hint="eastAsia"/>
              </w:rPr>
              <w:t>、</w:t>
            </w:r>
            <w:r>
              <w:rPr>
                <w:rFonts w:hint="eastAsia"/>
              </w:rPr>
              <w:t>2.4</w:t>
            </w:r>
            <w:r>
              <w:rPr>
                <w:rFonts w:hint="eastAsia"/>
              </w:rPr>
              <w:t>、</w:t>
            </w:r>
            <w:r>
              <w:rPr>
                <w:rFonts w:hint="eastAsia"/>
              </w:rPr>
              <w:t>2.5</w:t>
            </w:r>
            <w:r>
              <w:rPr>
                <w:rFonts w:hint="eastAsia"/>
              </w:rPr>
              <w:t>、</w:t>
            </w:r>
            <w:r>
              <w:rPr>
                <w:rFonts w:hint="eastAsia"/>
              </w:rPr>
              <w:t>2.6</w:t>
            </w:r>
          </w:p>
        </w:tc>
        <w:tc>
          <w:tcPr>
            <w:tcW w:w="0" w:type="auto"/>
          </w:tcPr>
          <w:p w14:paraId="68F312AB" w14:textId="77777777" w:rsidR="00295573" w:rsidRDefault="00000000">
            <w:pPr>
              <w:pStyle w:val="Compact"/>
            </w:pPr>
            <w:r>
              <w:rPr>
                <w:rFonts w:hint="eastAsia"/>
              </w:rPr>
              <w:t>售电公司多市场购售电策略研究已引入改进粒子群和</w:t>
            </w:r>
            <w:r>
              <w:rPr>
                <w:rFonts w:hint="eastAsia"/>
              </w:rPr>
              <w:t>CVaR</w:t>
            </w:r>
            <w:r>
              <w:rPr>
                <w:rFonts w:hint="eastAsia"/>
              </w:rPr>
              <w:t>，适合用作策略搜索参照</w:t>
            </w:r>
          </w:p>
        </w:tc>
      </w:tr>
      <w:tr w:rsidR="00295573" w14:paraId="22018115" w14:textId="77777777">
        <w:tc>
          <w:tcPr>
            <w:tcW w:w="0" w:type="auto"/>
          </w:tcPr>
          <w:p w14:paraId="786718F9" w14:textId="77777777" w:rsidR="00295573" w:rsidRDefault="00000000">
            <w:pPr>
              <w:pStyle w:val="Compact"/>
            </w:pPr>
            <w:r>
              <w:t>[16]</w:t>
            </w:r>
          </w:p>
        </w:tc>
        <w:tc>
          <w:tcPr>
            <w:tcW w:w="0" w:type="auto"/>
          </w:tcPr>
          <w:p w14:paraId="26360DFB" w14:textId="77777777" w:rsidR="00295573" w:rsidRDefault="00000000">
            <w:pPr>
              <w:pStyle w:val="Compact"/>
            </w:pPr>
            <w:r>
              <w:rPr>
                <w:rFonts w:hint="eastAsia"/>
              </w:rPr>
              <w:t>面向高比例可再生能源的电力市场研究综述</w:t>
            </w:r>
          </w:p>
        </w:tc>
        <w:tc>
          <w:tcPr>
            <w:tcW w:w="0" w:type="auto"/>
          </w:tcPr>
          <w:p w14:paraId="02C3240A" w14:textId="77777777" w:rsidR="00295573" w:rsidRDefault="00000000">
            <w:pPr>
              <w:pStyle w:val="Compact"/>
            </w:pPr>
            <w:r>
              <w:rPr>
                <w:rFonts w:hint="eastAsia"/>
              </w:rPr>
              <w:t>第一章</w:t>
            </w:r>
            <w:r>
              <w:rPr>
                <w:rFonts w:hint="eastAsia"/>
              </w:rPr>
              <w:t>1.1</w:t>
            </w:r>
            <w:r>
              <w:rPr>
                <w:rFonts w:hint="eastAsia"/>
              </w:rPr>
              <w:t>；第二章</w:t>
            </w:r>
            <w:r>
              <w:rPr>
                <w:rFonts w:hint="eastAsia"/>
              </w:rPr>
              <w:t>2.3</w:t>
            </w:r>
            <w:r>
              <w:rPr>
                <w:rFonts w:hint="eastAsia"/>
              </w:rPr>
              <w:t>、</w:t>
            </w:r>
            <w:r>
              <w:rPr>
                <w:rFonts w:hint="eastAsia"/>
              </w:rPr>
              <w:t>2.6</w:t>
            </w:r>
          </w:p>
        </w:tc>
        <w:tc>
          <w:tcPr>
            <w:tcW w:w="0" w:type="auto"/>
          </w:tcPr>
          <w:p w14:paraId="134A3C8C" w14:textId="77777777" w:rsidR="00295573" w:rsidRDefault="00000000">
            <w:pPr>
              <w:pStyle w:val="Compact"/>
            </w:pPr>
            <w:r>
              <w:rPr>
                <w:rFonts w:hint="eastAsia"/>
              </w:rPr>
              <w:t>高比例新能源会改变电力市场运行逻辑并强化价格波动与灵活性需求</w:t>
            </w:r>
          </w:p>
        </w:tc>
      </w:tr>
      <w:tr w:rsidR="00295573" w14:paraId="51DB2A7B" w14:textId="77777777">
        <w:tc>
          <w:tcPr>
            <w:tcW w:w="0" w:type="auto"/>
          </w:tcPr>
          <w:p w14:paraId="2EC1D247" w14:textId="77777777" w:rsidR="00295573" w:rsidRDefault="00000000">
            <w:pPr>
              <w:pStyle w:val="Compact"/>
            </w:pPr>
            <w:r>
              <w:t>[18]</w:t>
            </w:r>
          </w:p>
        </w:tc>
        <w:tc>
          <w:tcPr>
            <w:tcW w:w="0" w:type="auto"/>
          </w:tcPr>
          <w:p w14:paraId="5CACCADA" w14:textId="77777777" w:rsidR="00295573" w:rsidRDefault="00000000">
            <w:pPr>
              <w:pStyle w:val="Compact"/>
            </w:pPr>
            <w:r>
              <w:rPr>
                <w:rFonts w:hint="eastAsia"/>
              </w:rPr>
              <w:t>山西电力现货市场中长期与现货衔接问题及对策</w:t>
            </w:r>
          </w:p>
        </w:tc>
        <w:tc>
          <w:tcPr>
            <w:tcW w:w="0" w:type="auto"/>
          </w:tcPr>
          <w:p w14:paraId="6BEEFDF6" w14:textId="77777777" w:rsidR="00295573" w:rsidRDefault="00000000">
            <w:pPr>
              <w:pStyle w:val="Compact"/>
            </w:pPr>
            <w:r>
              <w:rPr>
                <w:rFonts w:hint="eastAsia"/>
              </w:rPr>
              <w:t>第一章</w:t>
            </w:r>
            <w:r>
              <w:rPr>
                <w:rFonts w:hint="eastAsia"/>
              </w:rPr>
              <w:t>1.2</w:t>
            </w:r>
            <w:r>
              <w:rPr>
                <w:rFonts w:hint="eastAsia"/>
              </w:rPr>
              <w:t>；第二章</w:t>
            </w:r>
            <w:r>
              <w:rPr>
                <w:rFonts w:hint="eastAsia"/>
              </w:rPr>
              <w:t>2.1</w:t>
            </w:r>
            <w:r>
              <w:rPr>
                <w:rFonts w:hint="eastAsia"/>
              </w:rPr>
              <w:t>、</w:t>
            </w:r>
            <w:r>
              <w:rPr>
                <w:rFonts w:hint="eastAsia"/>
              </w:rPr>
              <w:t>2.6</w:t>
            </w:r>
          </w:p>
        </w:tc>
        <w:tc>
          <w:tcPr>
            <w:tcW w:w="0" w:type="auto"/>
          </w:tcPr>
          <w:p w14:paraId="4A91AE5E" w14:textId="77777777" w:rsidR="00295573" w:rsidRDefault="00000000">
            <w:pPr>
              <w:pStyle w:val="Compact"/>
            </w:pPr>
            <w:r>
              <w:rPr>
                <w:rFonts w:hint="eastAsia"/>
              </w:rPr>
              <w:t>中长期—现货衔接需要关注分时化、风险控制和结算一致性</w:t>
            </w:r>
          </w:p>
        </w:tc>
      </w:tr>
      <w:tr w:rsidR="00295573" w14:paraId="1C119A9E" w14:textId="77777777">
        <w:tc>
          <w:tcPr>
            <w:tcW w:w="0" w:type="auto"/>
          </w:tcPr>
          <w:p w14:paraId="5FF9A4D2" w14:textId="77777777" w:rsidR="00295573" w:rsidRDefault="00000000">
            <w:pPr>
              <w:pStyle w:val="Compact"/>
            </w:pPr>
            <w:r>
              <w:lastRenderedPageBreak/>
              <w:t>[19]</w:t>
            </w:r>
          </w:p>
        </w:tc>
        <w:tc>
          <w:tcPr>
            <w:tcW w:w="0" w:type="auto"/>
          </w:tcPr>
          <w:p w14:paraId="0734FAF6" w14:textId="77777777" w:rsidR="00295573" w:rsidRDefault="00000000">
            <w:pPr>
              <w:pStyle w:val="Compact"/>
            </w:pPr>
            <w:r>
              <w:rPr>
                <w:rFonts w:hint="eastAsia"/>
              </w:rPr>
              <w:t>售电公司购售电业务决策与风险评估</w:t>
            </w:r>
          </w:p>
        </w:tc>
        <w:tc>
          <w:tcPr>
            <w:tcW w:w="0" w:type="auto"/>
          </w:tcPr>
          <w:p w14:paraId="168C6DB6" w14:textId="77777777" w:rsidR="00295573" w:rsidRDefault="00000000">
            <w:pPr>
              <w:pStyle w:val="Compact"/>
            </w:pPr>
            <w:r>
              <w:rPr>
                <w:rFonts w:hint="eastAsia"/>
              </w:rPr>
              <w:t>第一章</w:t>
            </w:r>
            <w:r>
              <w:rPr>
                <w:rFonts w:hint="eastAsia"/>
              </w:rPr>
              <w:t>1.1</w:t>
            </w:r>
            <w:r>
              <w:rPr>
                <w:rFonts w:hint="eastAsia"/>
              </w:rPr>
              <w:t>、</w:t>
            </w:r>
            <w:r>
              <w:rPr>
                <w:rFonts w:hint="eastAsia"/>
              </w:rPr>
              <w:t>1.2</w:t>
            </w:r>
            <w:r>
              <w:rPr>
                <w:rFonts w:hint="eastAsia"/>
              </w:rPr>
              <w:t>；第二章</w:t>
            </w:r>
            <w:r>
              <w:rPr>
                <w:rFonts w:hint="eastAsia"/>
              </w:rPr>
              <w:t>2.2</w:t>
            </w:r>
            <w:r>
              <w:rPr>
                <w:rFonts w:hint="eastAsia"/>
              </w:rPr>
              <w:t>、</w:t>
            </w:r>
            <w:r>
              <w:rPr>
                <w:rFonts w:hint="eastAsia"/>
              </w:rPr>
              <w:t>2.6</w:t>
            </w:r>
          </w:p>
        </w:tc>
        <w:tc>
          <w:tcPr>
            <w:tcW w:w="0" w:type="auto"/>
          </w:tcPr>
          <w:p w14:paraId="24599764" w14:textId="77777777" w:rsidR="00295573" w:rsidRDefault="00000000">
            <w:pPr>
              <w:pStyle w:val="Compact"/>
            </w:pPr>
            <w:r>
              <w:rPr>
                <w:rFonts w:hint="eastAsia"/>
              </w:rPr>
              <w:t>售电公司核心问题是购售电组合决策与风险评估，不是单纯价差套利</w:t>
            </w:r>
          </w:p>
        </w:tc>
      </w:tr>
      <w:tr w:rsidR="00295573" w14:paraId="0DD5E2FA" w14:textId="77777777">
        <w:tc>
          <w:tcPr>
            <w:tcW w:w="0" w:type="auto"/>
          </w:tcPr>
          <w:p w14:paraId="6A655738" w14:textId="77777777" w:rsidR="00295573" w:rsidRDefault="00000000">
            <w:pPr>
              <w:pStyle w:val="Compact"/>
            </w:pPr>
            <w:r>
              <w:t>[20]</w:t>
            </w:r>
          </w:p>
        </w:tc>
        <w:tc>
          <w:tcPr>
            <w:tcW w:w="0" w:type="auto"/>
          </w:tcPr>
          <w:p w14:paraId="4CCFE58C" w14:textId="77777777" w:rsidR="00295573" w:rsidRDefault="00000000">
            <w:pPr>
              <w:pStyle w:val="Compact"/>
            </w:pPr>
            <w:r>
              <w:rPr>
                <w:rFonts w:hint="eastAsia"/>
              </w:rPr>
              <w:t>新电改背景下售电公司的购售电策略及风险评估</w:t>
            </w:r>
          </w:p>
        </w:tc>
        <w:tc>
          <w:tcPr>
            <w:tcW w:w="0" w:type="auto"/>
          </w:tcPr>
          <w:p w14:paraId="5EA5FC68" w14:textId="77777777" w:rsidR="00295573" w:rsidRDefault="00000000">
            <w:pPr>
              <w:pStyle w:val="Compact"/>
            </w:pPr>
            <w:r>
              <w:rPr>
                <w:rFonts w:hint="eastAsia"/>
              </w:rPr>
              <w:t>第一章</w:t>
            </w:r>
            <w:r>
              <w:rPr>
                <w:rFonts w:hint="eastAsia"/>
              </w:rPr>
              <w:t>1.1</w:t>
            </w:r>
            <w:r>
              <w:rPr>
                <w:rFonts w:hint="eastAsia"/>
              </w:rPr>
              <w:t>、</w:t>
            </w:r>
            <w:r>
              <w:rPr>
                <w:rFonts w:hint="eastAsia"/>
              </w:rPr>
              <w:t>1.2</w:t>
            </w:r>
            <w:r>
              <w:rPr>
                <w:rFonts w:hint="eastAsia"/>
              </w:rPr>
              <w:t>；第二章</w:t>
            </w:r>
            <w:r>
              <w:rPr>
                <w:rFonts w:hint="eastAsia"/>
              </w:rPr>
              <w:t>2.2</w:t>
            </w:r>
            <w:r>
              <w:rPr>
                <w:rFonts w:hint="eastAsia"/>
              </w:rPr>
              <w:t>、</w:t>
            </w:r>
            <w:r>
              <w:rPr>
                <w:rFonts w:hint="eastAsia"/>
              </w:rPr>
              <w:t>2.5</w:t>
            </w:r>
            <w:r>
              <w:rPr>
                <w:rFonts w:hint="eastAsia"/>
              </w:rPr>
              <w:t>、</w:t>
            </w:r>
            <w:r>
              <w:rPr>
                <w:rFonts w:hint="eastAsia"/>
              </w:rPr>
              <w:t>2.6</w:t>
            </w:r>
          </w:p>
        </w:tc>
        <w:tc>
          <w:tcPr>
            <w:tcW w:w="0" w:type="auto"/>
          </w:tcPr>
          <w:p w14:paraId="20D105BD" w14:textId="77777777" w:rsidR="00295573" w:rsidRDefault="00000000">
            <w:pPr>
              <w:pStyle w:val="Compact"/>
            </w:pPr>
            <w:r>
              <w:rPr>
                <w:rFonts w:hint="eastAsia"/>
              </w:rPr>
              <w:t>售电公司购电具有多时间尺度特征，可用</w:t>
            </w:r>
            <w:r>
              <w:rPr>
                <w:rFonts w:hint="eastAsia"/>
              </w:rPr>
              <w:t>CVaR</w:t>
            </w:r>
            <w:r>
              <w:rPr>
                <w:rFonts w:hint="eastAsia"/>
              </w:rPr>
              <w:t>等指标评价多源扰动下的风险</w:t>
            </w:r>
          </w:p>
        </w:tc>
      </w:tr>
      <w:tr w:rsidR="00295573" w14:paraId="02391FA1" w14:textId="77777777">
        <w:tc>
          <w:tcPr>
            <w:tcW w:w="0" w:type="auto"/>
          </w:tcPr>
          <w:p w14:paraId="617156F4" w14:textId="77777777" w:rsidR="00295573" w:rsidRDefault="00000000">
            <w:pPr>
              <w:pStyle w:val="Compact"/>
            </w:pPr>
            <w:r>
              <w:t>[21]</w:t>
            </w:r>
          </w:p>
        </w:tc>
        <w:tc>
          <w:tcPr>
            <w:tcW w:w="0" w:type="auto"/>
          </w:tcPr>
          <w:p w14:paraId="5421A914" w14:textId="77777777" w:rsidR="00295573" w:rsidRDefault="00000000">
            <w:pPr>
              <w:pStyle w:val="Compact"/>
            </w:pPr>
            <w:r>
              <w:rPr>
                <w:rFonts w:hint="eastAsia"/>
              </w:rPr>
              <w:t>新电改背景下我国售电公司的购售电途径与经营模式探讨</w:t>
            </w:r>
          </w:p>
        </w:tc>
        <w:tc>
          <w:tcPr>
            <w:tcW w:w="0" w:type="auto"/>
          </w:tcPr>
          <w:p w14:paraId="2A604753" w14:textId="77777777" w:rsidR="00295573" w:rsidRDefault="00000000">
            <w:pPr>
              <w:pStyle w:val="Compact"/>
            </w:pPr>
            <w:r>
              <w:rPr>
                <w:rFonts w:hint="eastAsia"/>
              </w:rPr>
              <w:t>第一章</w:t>
            </w:r>
            <w:r>
              <w:rPr>
                <w:rFonts w:hint="eastAsia"/>
              </w:rPr>
              <w:t>1.1</w:t>
            </w:r>
            <w:r>
              <w:rPr>
                <w:rFonts w:hint="eastAsia"/>
              </w:rPr>
              <w:t>；第二章</w:t>
            </w:r>
            <w:r>
              <w:rPr>
                <w:rFonts w:hint="eastAsia"/>
              </w:rPr>
              <w:t>2.2</w:t>
            </w:r>
          </w:p>
        </w:tc>
        <w:tc>
          <w:tcPr>
            <w:tcW w:w="0" w:type="auto"/>
          </w:tcPr>
          <w:p w14:paraId="4A9CF393" w14:textId="77777777" w:rsidR="00295573" w:rsidRDefault="00000000">
            <w:pPr>
              <w:pStyle w:val="Compact"/>
            </w:pPr>
            <w:r>
              <w:rPr>
                <w:rFonts w:hint="eastAsia"/>
              </w:rPr>
              <w:t>售电公司的经营模式和购售电路径具有连续经营与制度约束属性</w:t>
            </w:r>
          </w:p>
        </w:tc>
      </w:tr>
      <w:tr w:rsidR="00295573" w14:paraId="3678AC99" w14:textId="77777777">
        <w:tc>
          <w:tcPr>
            <w:tcW w:w="0" w:type="auto"/>
          </w:tcPr>
          <w:p w14:paraId="647F1311" w14:textId="77777777" w:rsidR="00295573" w:rsidRDefault="00000000">
            <w:pPr>
              <w:pStyle w:val="Compact"/>
            </w:pPr>
            <w:r>
              <w:t>[22]</w:t>
            </w:r>
          </w:p>
        </w:tc>
        <w:tc>
          <w:tcPr>
            <w:tcW w:w="0" w:type="auto"/>
          </w:tcPr>
          <w:p w14:paraId="7A0B5A20" w14:textId="77777777" w:rsidR="00295573" w:rsidRDefault="00000000">
            <w:pPr>
              <w:pStyle w:val="Compact"/>
            </w:pPr>
            <w:r>
              <w:rPr>
                <w:rFonts w:hint="eastAsia"/>
              </w:rPr>
              <w:t>新电改下我国电力现货市场建设关键要点综述及相关建议</w:t>
            </w:r>
          </w:p>
        </w:tc>
        <w:tc>
          <w:tcPr>
            <w:tcW w:w="0" w:type="auto"/>
          </w:tcPr>
          <w:p w14:paraId="208D8480" w14:textId="77777777" w:rsidR="00295573" w:rsidRDefault="00000000">
            <w:pPr>
              <w:pStyle w:val="Compact"/>
            </w:pPr>
            <w:r>
              <w:rPr>
                <w:rFonts w:hint="eastAsia"/>
              </w:rPr>
              <w:t>第一章</w:t>
            </w:r>
            <w:r>
              <w:rPr>
                <w:rFonts w:hint="eastAsia"/>
              </w:rPr>
              <w:t>1.1</w:t>
            </w:r>
            <w:r>
              <w:rPr>
                <w:rFonts w:hint="eastAsia"/>
              </w:rPr>
              <w:t>；第二章</w:t>
            </w:r>
            <w:r>
              <w:rPr>
                <w:rFonts w:hint="eastAsia"/>
              </w:rPr>
              <w:t>2.1</w:t>
            </w:r>
            <w:r>
              <w:rPr>
                <w:rFonts w:hint="eastAsia"/>
              </w:rPr>
              <w:t>、</w:t>
            </w:r>
            <w:r>
              <w:rPr>
                <w:rFonts w:hint="eastAsia"/>
              </w:rPr>
              <w:t>2.6</w:t>
            </w:r>
          </w:p>
        </w:tc>
        <w:tc>
          <w:tcPr>
            <w:tcW w:w="0" w:type="auto"/>
          </w:tcPr>
          <w:p w14:paraId="7020D42D" w14:textId="77777777" w:rsidR="00295573" w:rsidRDefault="00000000">
            <w:pPr>
              <w:pStyle w:val="Compact"/>
            </w:pPr>
            <w:r>
              <w:rPr>
                <w:rFonts w:hint="eastAsia"/>
              </w:rPr>
              <w:t>现货市场是连接中长期交易与实时运行的关键机制</w:t>
            </w:r>
          </w:p>
        </w:tc>
      </w:tr>
      <w:tr w:rsidR="00295573" w14:paraId="33179890" w14:textId="77777777">
        <w:tc>
          <w:tcPr>
            <w:tcW w:w="0" w:type="auto"/>
          </w:tcPr>
          <w:p w14:paraId="4E8232F0" w14:textId="77777777" w:rsidR="00295573" w:rsidRDefault="00000000">
            <w:pPr>
              <w:pStyle w:val="Compact"/>
            </w:pPr>
            <w:r>
              <w:t>[23]</w:t>
            </w:r>
          </w:p>
        </w:tc>
        <w:tc>
          <w:tcPr>
            <w:tcW w:w="0" w:type="auto"/>
          </w:tcPr>
          <w:p w14:paraId="73E8F45B" w14:textId="77777777" w:rsidR="00295573" w:rsidRDefault="00000000">
            <w:pPr>
              <w:pStyle w:val="Compact"/>
            </w:pPr>
            <w:r>
              <w:rPr>
                <w:rFonts w:hint="eastAsia"/>
              </w:rPr>
              <w:t>新能源为主体电力系统的需求侧资源利用关键技术及展望</w:t>
            </w:r>
          </w:p>
        </w:tc>
        <w:tc>
          <w:tcPr>
            <w:tcW w:w="0" w:type="auto"/>
          </w:tcPr>
          <w:p w14:paraId="4AF338B9" w14:textId="77777777" w:rsidR="00295573" w:rsidRDefault="00000000">
            <w:pPr>
              <w:pStyle w:val="Compact"/>
            </w:pPr>
            <w:r>
              <w:rPr>
                <w:rFonts w:hint="eastAsia"/>
              </w:rPr>
              <w:t>第二章</w:t>
            </w:r>
            <w:r>
              <w:rPr>
                <w:rFonts w:hint="eastAsia"/>
              </w:rPr>
              <w:t>2.3</w:t>
            </w:r>
            <w:r>
              <w:rPr>
                <w:rFonts w:hint="eastAsia"/>
              </w:rPr>
              <w:t>、</w:t>
            </w:r>
            <w:r>
              <w:rPr>
                <w:rFonts w:hint="eastAsia"/>
              </w:rPr>
              <w:t>2.6</w:t>
            </w:r>
          </w:p>
        </w:tc>
        <w:tc>
          <w:tcPr>
            <w:tcW w:w="0" w:type="auto"/>
          </w:tcPr>
          <w:p w14:paraId="6FD4002C" w14:textId="77777777" w:rsidR="00295573" w:rsidRDefault="00000000">
            <w:pPr>
              <w:pStyle w:val="Compact"/>
            </w:pPr>
            <w:r>
              <w:rPr>
                <w:rFonts w:hint="eastAsia"/>
              </w:rPr>
              <w:t>新能源占比提升后，需求侧灵活性与风险缓释能力的重要性增加</w:t>
            </w:r>
          </w:p>
        </w:tc>
      </w:tr>
      <w:tr w:rsidR="00295573" w14:paraId="08967EF9" w14:textId="77777777">
        <w:tc>
          <w:tcPr>
            <w:tcW w:w="0" w:type="auto"/>
          </w:tcPr>
          <w:p w14:paraId="2B449A77" w14:textId="77777777" w:rsidR="00295573" w:rsidRDefault="00000000">
            <w:pPr>
              <w:pStyle w:val="Compact"/>
            </w:pPr>
            <w:r>
              <w:t>[24]</w:t>
            </w:r>
          </w:p>
        </w:tc>
        <w:tc>
          <w:tcPr>
            <w:tcW w:w="0" w:type="auto"/>
          </w:tcPr>
          <w:p w14:paraId="01E68C05" w14:textId="77777777" w:rsidR="00295573" w:rsidRDefault="00000000">
            <w:pPr>
              <w:pStyle w:val="Compact"/>
            </w:pPr>
            <w:r>
              <w:rPr>
                <w:rFonts w:hint="eastAsia"/>
              </w:rPr>
              <w:t>需求侧实时电价下供电商购售电风险决策</w:t>
            </w:r>
          </w:p>
        </w:tc>
        <w:tc>
          <w:tcPr>
            <w:tcW w:w="0" w:type="auto"/>
          </w:tcPr>
          <w:p w14:paraId="0496458E" w14:textId="77777777" w:rsidR="00295573" w:rsidRDefault="00000000">
            <w:pPr>
              <w:pStyle w:val="Compact"/>
            </w:pPr>
            <w:r>
              <w:rPr>
                <w:rFonts w:hint="eastAsia"/>
              </w:rPr>
              <w:t>第二章</w:t>
            </w:r>
            <w:r>
              <w:rPr>
                <w:rFonts w:hint="eastAsia"/>
              </w:rPr>
              <w:t>2.2</w:t>
            </w:r>
            <w:r>
              <w:rPr>
                <w:rFonts w:hint="eastAsia"/>
              </w:rPr>
              <w:t>、</w:t>
            </w:r>
            <w:r>
              <w:rPr>
                <w:rFonts w:hint="eastAsia"/>
              </w:rPr>
              <w:t>2.5</w:t>
            </w:r>
          </w:p>
        </w:tc>
        <w:tc>
          <w:tcPr>
            <w:tcW w:w="0" w:type="auto"/>
          </w:tcPr>
          <w:p w14:paraId="13F712BC" w14:textId="77777777" w:rsidR="00295573" w:rsidRDefault="00000000">
            <w:pPr>
              <w:pStyle w:val="Compact"/>
            </w:pPr>
            <w:r>
              <w:rPr>
                <w:rFonts w:hint="eastAsia"/>
              </w:rPr>
              <w:t>购售电风险决策可通过</w:t>
            </w:r>
            <w:r>
              <w:rPr>
                <w:rFonts w:hint="eastAsia"/>
              </w:rPr>
              <w:t>CVaR</w:t>
            </w:r>
            <w:r>
              <w:rPr>
                <w:rFonts w:hint="eastAsia"/>
              </w:rPr>
              <w:t>框架平衡利润与风险偏好</w:t>
            </w:r>
          </w:p>
        </w:tc>
      </w:tr>
      <w:tr w:rsidR="00295573" w14:paraId="31AF2275" w14:textId="77777777">
        <w:tc>
          <w:tcPr>
            <w:tcW w:w="0" w:type="auto"/>
          </w:tcPr>
          <w:p w14:paraId="1091C208" w14:textId="77777777" w:rsidR="00295573" w:rsidRDefault="00000000">
            <w:pPr>
              <w:pStyle w:val="Compact"/>
            </w:pPr>
            <w:r>
              <w:t>[31]</w:t>
            </w:r>
          </w:p>
        </w:tc>
        <w:tc>
          <w:tcPr>
            <w:tcW w:w="0" w:type="auto"/>
          </w:tcPr>
          <w:p w14:paraId="42CD6524" w14:textId="77777777" w:rsidR="00295573" w:rsidRDefault="00000000">
            <w:pPr>
              <w:pStyle w:val="Compact"/>
            </w:pPr>
            <w:r>
              <w:t>A Medium-Term Integrated Risk Management Model for a Hydrothermal Generation Company</w:t>
            </w:r>
          </w:p>
        </w:tc>
        <w:tc>
          <w:tcPr>
            <w:tcW w:w="0" w:type="auto"/>
          </w:tcPr>
          <w:p w14:paraId="5CADE90F" w14:textId="77777777" w:rsidR="00295573" w:rsidRDefault="00000000">
            <w:pPr>
              <w:pStyle w:val="Compact"/>
            </w:pPr>
            <w:r>
              <w:rPr>
                <w:rFonts w:hint="eastAsia"/>
              </w:rPr>
              <w:t>第二章</w:t>
            </w:r>
            <w:r>
              <w:rPr>
                <w:rFonts w:hint="eastAsia"/>
              </w:rPr>
              <w:t>2.2</w:t>
            </w:r>
            <w:r>
              <w:rPr>
                <w:rFonts w:hint="eastAsia"/>
              </w:rPr>
              <w:t>、</w:t>
            </w:r>
            <w:r>
              <w:rPr>
                <w:rFonts w:hint="eastAsia"/>
              </w:rPr>
              <w:t>2.6</w:t>
            </w:r>
          </w:p>
        </w:tc>
        <w:tc>
          <w:tcPr>
            <w:tcW w:w="0" w:type="auto"/>
          </w:tcPr>
          <w:p w14:paraId="16D2D7D7" w14:textId="77777777" w:rsidR="00295573" w:rsidRDefault="00000000">
            <w:pPr>
              <w:pStyle w:val="Compact"/>
            </w:pPr>
            <w:r>
              <w:rPr>
                <w:rFonts w:hint="eastAsia"/>
              </w:rPr>
              <w:t>国外较早已将中期综合风险管理纳入电力资产组合研究，但对象多非售电公司</w:t>
            </w:r>
          </w:p>
        </w:tc>
      </w:tr>
      <w:tr w:rsidR="00295573" w14:paraId="6819B224" w14:textId="77777777">
        <w:tc>
          <w:tcPr>
            <w:tcW w:w="0" w:type="auto"/>
          </w:tcPr>
          <w:p w14:paraId="26C9A3B2" w14:textId="77777777" w:rsidR="00295573" w:rsidRDefault="00000000">
            <w:pPr>
              <w:pStyle w:val="Compact"/>
            </w:pPr>
            <w:r>
              <w:t>[34]</w:t>
            </w:r>
          </w:p>
        </w:tc>
        <w:tc>
          <w:tcPr>
            <w:tcW w:w="0" w:type="auto"/>
          </w:tcPr>
          <w:p w14:paraId="20999831" w14:textId="77777777" w:rsidR="00295573" w:rsidRDefault="00000000">
            <w:pPr>
              <w:pStyle w:val="Compact"/>
            </w:pPr>
            <w:r>
              <w:t>COHERENT MEASURES OF RISK</w:t>
            </w:r>
          </w:p>
        </w:tc>
        <w:tc>
          <w:tcPr>
            <w:tcW w:w="0" w:type="auto"/>
          </w:tcPr>
          <w:p w14:paraId="3F704FF1" w14:textId="77777777" w:rsidR="00295573" w:rsidRDefault="00000000">
            <w:pPr>
              <w:pStyle w:val="Compact"/>
            </w:pPr>
            <w:r>
              <w:rPr>
                <w:rFonts w:hint="eastAsia"/>
              </w:rPr>
              <w:t>第一章</w:t>
            </w:r>
            <w:r>
              <w:rPr>
                <w:rFonts w:hint="eastAsia"/>
              </w:rPr>
              <w:t>1.3</w:t>
            </w:r>
            <w:r>
              <w:rPr>
                <w:rFonts w:hint="eastAsia"/>
              </w:rPr>
              <w:t>；第二章</w:t>
            </w:r>
            <w:r>
              <w:rPr>
                <w:rFonts w:hint="eastAsia"/>
              </w:rPr>
              <w:t>2.5</w:t>
            </w:r>
          </w:p>
        </w:tc>
        <w:tc>
          <w:tcPr>
            <w:tcW w:w="0" w:type="auto"/>
          </w:tcPr>
          <w:p w14:paraId="52B7969C" w14:textId="77777777" w:rsidR="00295573" w:rsidRDefault="00000000">
            <w:pPr>
              <w:pStyle w:val="Compact"/>
            </w:pPr>
            <w:r>
              <w:rPr>
                <w:rFonts w:hint="eastAsia"/>
              </w:rPr>
              <w:t>一致性风险度量为尾部风险评价提供理论基础</w:t>
            </w:r>
          </w:p>
        </w:tc>
      </w:tr>
      <w:tr w:rsidR="00295573" w14:paraId="42C1C33C" w14:textId="77777777">
        <w:tc>
          <w:tcPr>
            <w:tcW w:w="0" w:type="auto"/>
          </w:tcPr>
          <w:p w14:paraId="3CD3F641" w14:textId="77777777" w:rsidR="00295573" w:rsidRDefault="00000000">
            <w:pPr>
              <w:pStyle w:val="Compact"/>
            </w:pPr>
            <w:r>
              <w:t>[39]</w:t>
            </w:r>
          </w:p>
        </w:tc>
        <w:tc>
          <w:tcPr>
            <w:tcW w:w="0" w:type="auto"/>
          </w:tcPr>
          <w:p w14:paraId="2A9AFA06" w14:textId="77777777" w:rsidR="00295573" w:rsidRDefault="00000000">
            <w:pPr>
              <w:pStyle w:val="Compact"/>
            </w:pPr>
            <w:r>
              <w:t>Electricity Retailer Trading Portfolio Optimization Considering Risk Assessment in Chinese Electricity Market</w:t>
            </w:r>
          </w:p>
        </w:tc>
        <w:tc>
          <w:tcPr>
            <w:tcW w:w="0" w:type="auto"/>
          </w:tcPr>
          <w:p w14:paraId="16768CED" w14:textId="77777777" w:rsidR="00295573" w:rsidRDefault="00000000">
            <w:pPr>
              <w:pStyle w:val="Compact"/>
            </w:pPr>
            <w:r>
              <w:rPr>
                <w:rFonts w:hint="eastAsia"/>
              </w:rPr>
              <w:t>第二章</w:t>
            </w:r>
            <w:r>
              <w:rPr>
                <w:rFonts w:hint="eastAsia"/>
              </w:rPr>
              <w:t>2.2</w:t>
            </w:r>
            <w:r>
              <w:rPr>
                <w:rFonts w:hint="eastAsia"/>
              </w:rPr>
              <w:t>、</w:t>
            </w:r>
            <w:r>
              <w:rPr>
                <w:rFonts w:hint="eastAsia"/>
              </w:rPr>
              <w:t>2.6</w:t>
            </w:r>
          </w:p>
        </w:tc>
        <w:tc>
          <w:tcPr>
            <w:tcW w:w="0" w:type="auto"/>
          </w:tcPr>
          <w:p w14:paraId="5D092448" w14:textId="77777777" w:rsidR="00295573" w:rsidRDefault="00000000">
            <w:pPr>
              <w:pStyle w:val="Compact"/>
            </w:pPr>
            <w:r>
              <w:rPr>
                <w:rFonts w:hint="eastAsia"/>
              </w:rPr>
              <w:t>已有研究开始面向中国电力市场讨论售电交易组合优化问题</w:t>
            </w:r>
          </w:p>
        </w:tc>
      </w:tr>
      <w:tr w:rsidR="00295573" w14:paraId="280FC40C" w14:textId="77777777">
        <w:tc>
          <w:tcPr>
            <w:tcW w:w="0" w:type="auto"/>
          </w:tcPr>
          <w:p w14:paraId="1E6BAFE9" w14:textId="77777777" w:rsidR="00295573" w:rsidRDefault="00000000">
            <w:pPr>
              <w:pStyle w:val="Compact"/>
            </w:pPr>
            <w:r>
              <w:t>[41]</w:t>
            </w:r>
          </w:p>
        </w:tc>
        <w:tc>
          <w:tcPr>
            <w:tcW w:w="0" w:type="auto"/>
          </w:tcPr>
          <w:p w14:paraId="244852B1" w14:textId="77777777" w:rsidR="00295573" w:rsidRDefault="00000000">
            <w:pPr>
              <w:pStyle w:val="Compact"/>
            </w:pPr>
            <w:r>
              <w:t>Hedging strategies in energy markets: The case of electricity retailers</w:t>
            </w:r>
          </w:p>
        </w:tc>
        <w:tc>
          <w:tcPr>
            <w:tcW w:w="0" w:type="auto"/>
          </w:tcPr>
          <w:p w14:paraId="05990A00" w14:textId="77777777" w:rsidR="00295573" w:rsidRDefault="00000000">
            <w:pPr>
              <w:pStyle w:val="Compact"/>
            </w:pPr>
            <w:r>
              <w:rPr>
                <w:rFonts w:hint="eastAsia"/>
              </w:rPr>
              <w:t>第二章</w:t>
            </w:r>
            <w:r>
              <w:rPr>
                <w:rFonts w:hint="eastAsia"/>
              </w:rPr>
              <w:t>2.2</w:t>
            </w:r>
            <w:r>
              <w:rPr>
                <w:rFonts w:hint="eastAsia"/>
              </w:rPr>
              <w:t>、</w:t>
            </w:r>
            <w:r>
              <w:rPr>
                <w:rFonts w:hint="eastAsia"/>
              </w:rPr>
              <w:t>2.5</w:t>
            </w:r>
            <w:r>
              <w:rPr>
                <w:rFonts w:hint="eastAsia"/>
              </w:rPr>
              <w:t>、</w:t>
            </w:r>
            <w:r>
              <w:rPr>
                <w:rFonts w:hint="eastAsia"/>
              </w:rPr>
              <w:t>2.6</w:t>
            </w:r>
          </w:p>
        </w:tc>
        <w:tc>
          <w:tcPr>
            <w:tcW w:w="0" w:type="auto"/>
          </w:tcPr>
          <w:p w14:paraId="5B21503B" w14:textId="77777777" w:rsidR="00295573" w:rsidRDefault="00000000">
            <w:pPr>
              <w:pStyle w:val="Compact"/>
            </w:pPr>
            <w:r>
              <w:rPr>
                <w:rFonts w:hint="eastAsia"/>
              </w:rPr>
              <w:t>国外零售商研究已把价格风险与数量风险联合纳入</w:t>
            </w:r>
            <w:r>
              <w:rPr>
                <w:rFonts w:hint="eastAsia"/>
              </w:rPr>
              <w:t>VaR/CVaR</w:t>
            </w:r>
            <w:r>
              <w:rPr>
                <w:rFonts w:hint="eastAsia"/>
              </w:rPr>
              <w:t>套期保</w:t>
            </w:r>
            <w:r>
              <w:rPr>
                <w:rFonts w:hint="eastAsia"/>
              </w:rPr>
              <w:lastRenderedPageBreak/>
              <w:t>值框架</w:t>
            </w:r>
          </w:p>
        </w:tc>
      </w:tr>
      <w:tr w:rsidR="00295573" w14:paraId="7CCCAA12" w14:textId="77777777">
        <w:tc>
          <w:tcPr>
            <w:tcW w:w="0" w:type="auto"/>
          </w:tcPr>
          <w:p w14:paraId="7FE0C750" w14:textId="77777777" w:rsidR="00295573" w:rsidRDefault="00000000">
            <w:pPr>
              <w:pStyle w:val="Compact"/>
            </w:pPr>
            <w:r>
              <w:lastRenderedPageBreak/>
              <w:t>[43]</w:t>
            </w:r>
          </w:p>
        </w:tc>
        <w:tc>
          <w:tcPr>
            <w:tcW w:w="0" w:type="auto"/>
          </w:tcPr>
          <w:p w14:paraId="6D4B48C9" w14:textId="77777777" w:rsidR="00295573" w:rsidRDefault="00000000">
            <w:pPr>
              <w:pStyle w:val="Compact"/>
            </w:pPr>
            <w:r>
              <w:t>Optimization of conditional value-at-risk</w:t>
            </w:r>
          </w:p>
        </w:tc>
        <w:tc>
          <w:tcPr>
            <w:tcW w:w="0" w:type="auto"/>
          </w:tcPr>
          <w:p w14:paraId="7C34499E" w14:textId="77777777" w:rsidR="00295573" w:rsidRDefault="00000000">
            <w:pPr>
              <w:pStyle w:val="Compact"/>
            </w:pPr>
            <w:r>
              <w:rPr>
                <w:rFonts w:hint="eastAsia"/>
              </w:rPr>
              <w:t>第一章</w:t>
            </w:r>
            <w:r>
              <w:rPr>
                <w:rFonts w:hint="eastAsia"/>
              </w:rPr>
              <w:t>1.3</w:t>
            </w:r>
            <w:r>
              <w:rPr>
                <w:rFonts w:hint="eastAsia"/>
              </w:rPr>
              <w:t>；第二章</w:t>
            </w:r>
            <w:r>
              <w:rPr>
                <w:rFonts w:hint="eastAsia"/>
              </w:rPr>
              <w:t>2.5</w:t>
            </w:r>
          </w:p>
        </w:tc>
        <w:tc>
          <w:tcPr>
            <w:tcW w:w="0" w:type="auto"/>
          </w:tcPr>
          <w:p w14:paraId="7CF92350" w14:textId="77777777" w:rsidR="00295573" w:rsidRDefault="00000000">
            <w:pPr>
              <w:pStyle w:val="Compact"/>
            </w:pPr>
            <w:r>
              <w:rPr>
                <w:rFonts w:hint="eastAsia"/>
              </w:rPr>
              <w:t>CVaR</w:t>
            </w:r>
            <w:r>
              <w:rPr>
                <w:rFonts w:hint="eastAsia"/>
              </w:rPr>
              <w:t>可直接作为尾部风险优化目标或约束</w:t>
            </w:r>
          </w:p>
        </w:tc>
      </w:tr>
      <w:tr w:rsidR="00295573" w14:paraId="19126442" w14:textId="77777777">
        <w:tc>
          <w:tcPr>
            <w:tcW w:w="0" w:type="auto"/>
          </w:tcPr>
          <w:p w14:paraId="52A5780A" w14:textId="77777777" w:rsidR="00295573" w:rsidRDefault="00000000">
            <w:pPr>
              <w:pStyle w:val="Compact"/>
            </w:pPr>
            <w:r>
              <w:t>[44]</w:t>
            </w:r>
          </w:p>
        </w:tc>
        <w:tc>
          <w:tcPr>
            <w:tcW w:w="0" w:type="auto"/>
          </w:tcPr>
          <w:p w14:paraId="30FAE915" w14:textId="77777777" w:rsidR="00295573" w:rsidRDefault="00000000">
            <w:pPr>
              <w:pStyle w:val="Compact"/>
            </w:pPr>
            <w:r>
              <w:t>Optimization of Electricity Retailer’s Contract Portfolio Subject to Risk Preferences</w:t>
            </w:r>
          </w:p>
        </w:tc>
        <w:tc>
          <w:tcPr>
            <w:tcW w:w="0" w:type="auto"/>
          </w:tcPr>
          <w:p w14:paraId="24CC8F1E" w14:textId="77777777" w:rsidR="00295573" w:rsidRDefault="00000000">
            <w:pPr>
              <w:pStyle w:val="Compact"/>
            </w:pPr>
            <w:r>
              <w:rPr>
                <w:rFonts w:hint="eastAsia"/>
              </w:rPr>
              <w:t>第二章</w:t>
            </w:r>
            <w:r>
              <w:rPr>
                <w:rFonts w:hint="eastAsia"/>
              </w:rPr>
              <w:t>2.2</w:t>
            </w:r>
            <w:r>
              <w:rPr>
                <w:rFonts w:hint="eastAsia"/>
              </w:rPr>
              <w:t>、</w:t>
            </w:r>
            <w:r>
              <w:rPr>
                <w:rFonts w:hint="eastAsia"/>
              </w:rPr>
              <w:t>2.5</w:t>
            </w:r>
            <w:r>
              <w:rPr>
                <w:rFonts w:hint="eastAsia"/>
              </w:rPr>
              <w:t>、</w:t>
            </w:r>
            <w:r>
              <w:rPr>
                <w:rFonts w:hint="eastAsia"/>
              </w:rPr>
              <w:t>2.6</w:t>
            </w:r>
          </w:p>
        </w:tc>
        <w:tc>
          <w:tcPr>
            <w:tcW w:w="0" w:type="auto"/>
          </w:tcPr>
          <w:p w14:paraId="569B261F" w14:textId="77777777" w:rsidR="00295573" w:rsidRDefault="00000000">
            <w:pPr>
              <w:pStyle w:val="Compact"/>
            </w:pPr>
            <w:r>
              <w:rPr>
                <w:rFonts w:hint="eastAsia"/>
              </w:rPr>
              <w:t>零售商合同组合与风险偏好可在统一组合优化框架中处理</w:t>
            </w:r>
          </w:p>
        </w:tc>
      </w:tr>
      <w:tr w:rsidR="00295573" w14:paraId="459403F2" w14:textId="77777777">
        <w:tc>
          <w:tcPr>
            <w:tcW w:w="0" w:type="auto"/>
          </w:tcPr>
          <w:p w14:paraId="719CE827" w14:textId="77777777" w:rsidR="00295573" w:rsidRDefault="00000000">
            <w:pPr>
              <w:pStyle w:val="Compact"/>
            </w:pPr>
            <w:r>
              <w:t>[46]</w:t>
            </w:r>
          </w:p>
        </w:tc>
        <w:tc>
          <w:tcPr>
            <w:tcW w:w="0" w:type="auto"/>
          </w:tcPr>
          <w:p w14:paraId="2B831881" w14:textId="77777777" w:rsidR="00295573" w:rsidRDefault="00000000">
            <w:pPr>
              <w:pStyle w:val="Compact"/>
            </w:pPr>
            <w:r>
              <w:t>Particle swarm optimization: An overview</w:t>
            </w:r>
          </w:p>
        </w:tc>
        <w:tc>
          <w:tcPr>
            <w:tcW w:w="0" w:type="auto"/>
          </w:tcPr>
          <w:p w14:paraId="5F4FDBE9" w14:textId="77777777" w:rsidR="00295573" w:rsidRDefault="00000000">
            <w:pPr>
              <w:pStyle w:val="Compact"/>
            </w:pPr>
            <w:r>
              <w:rPr>
                <w:rFonts w:hint="eastAsia"/>
              </w:rPr>
              <w:t>第一章</w:t>
            </w:r>
            <w:r>
              <w:rPr>
                <w:rFonts w:hint="eastAsia"/>
              </w:rPr>
              <w:t>1.3</w:t>
            </w:r>
            <w:r>
              <w:rPr>
                <w:rFonts w:hint="eastAsia"/>
              </w:rPr>
              <w:t>；第二章</w:t>
            </w:r>
            <w:r>
              <w:rPr>
                <w:rFonts w:hint="eastAsia"/>
              </w:rPr>
              <w:t>2.4</w:t>
            </w:r>
            <w:r>
              <w:rPr>
                <w:rFonts w:hint="eastAsia"/>
              </w:rPr>
              <w:t>、</w:t>
            </w:r>
            <w:r>
              <w:rPr>
                <w:rFonts w:hint="eastAsia"/>
              </w:rPr>
              <w:t>2.6</w:t>
            </w:r>
          </w:p>
        </w:tc>
        <w:tc>
          <w:tcPr>
            <w:tcW w:w="0" w:type="auto"/>
          </w:tcPr>
          <w:p w14:paraId="15B46BB0" w14:textId="77777777" w:rsidR="00295573" w:rsidRDefault="00000000">
            <w:pPr>
              <w:pStyle w:val="Compact"/>
            </w:pPr>
            <w:r>
              <w:rPr>
                <w:rFonts w:hint="eastAsia"/>
              </w:rPr>
              <w:t>PSO</w:t>
            </w:r>
            <w:r>
              <w:rPr>
                <w:rFonts w:hint="eastAsia"/>
              </w:rPr>
              <w:t>适用于复杂优化问题，是策略搜索的重要方法基础</w:t>
            </w:r>
          </w:p>
        </w:tc>
      </w:tr>
      <w:tr w:rsidR="00295573" w14:paraId="48E420FC" w14:textId="77777777">
        <w:tc>
          <w:tcPr>
            <w:tcW w:w="0" w:type="auto"/>
          </w:tcPr>
          <w:p w14:paraId="5A683FEB" w14:textId="77777777" w:rsidR="00295573" w:rsidRDefault="00000000">
            <w:pPr>
              <w:pStyle w:val="Compact"/>
            </w:pPr>
            <w:r>
              <w:t>[47]</w:t>
            </w:r>
          </w:p>
        </w:tc>
        <w:tc>
          <w:tcPr>
            <w:tcW w:w="0" w:type="auto"/>
          </w:tcPr>
          <w:p w14:paraId="6C68EE83" w14:textId="77777777" w:rsidR="00295573" w:rsidRDefault="00000000">
            <w:pPr>
              <w:pStyle w:val="Compact"/>
            </w:pPr>
            <w:r>
              <w:t>Particle Swarm Optimization: Basic Concepts, Variants and Applications in Power Systems</w:t>
            </w:r>
          </w:p>
        </w:tc>
        <w:tc>
          <w:tcPr>
            <w:tcW w:w="0" w:type="auto"/>
          </w:tcPr>
          <w:p w14:paraId="1093171F" w14:textId="77777777" w:rsidR="00295573" w:rsidRDefault="00000000">
            <w:pPr>
              <w:pStyle w:val="Compact"/>
            </w:pPr>
            <w:r>
              <w:rPr>
                <w:rFonts w:hint="eastAsia"/>
              </w:rPr>
              <w:t>第一章</w:t>
            </w:r>
            <w:r>
              <w:rPr>
                <w:rFonts w:hint="eastAsia"/>
              </w:rPr>
              <w:t>1.3</w:t>
            </w:r>
            <w:r>
              <w:rPr>
                <w:rFonts w:hint="eastAsia"/>
              </w:rPr>
              <w:t>；第二章</w:t>
            </w:r>
            <w:r>
              <w:rPr>
                <w:rFonts w:hint="eastAsia"/>
              </w:rPr>
              <w:t>2.4</w:t>
            </w:r>
            <w:r>
              <w:rPr>
                <w:rFonts w:hint="eastAsia"/>
              </w:rPr>
              <w:t>、</w:t>
            </w:r>
            <w:r>
              <w:rPr>
                <w:rFonts w:hint="eastAsia"/>
              </w:rPr>
              <w:t>2.6</w:t>
            </w:r>
          </w:p>
        </w:tc>
        <w:tc>
          <w:tcPr>
            <w:tcW w:w="0" w:type="auto"/>
          </w:tcPr>
          <w:p w14:paraId="75EAB9BB" w14:textId="77777777" w:rsidR="00295573" w:rsidRDefault="00000000">
            <w:pPr>
              <w:pStyle w:val="Compact"/>
            </w:pPr>
            <w:r>
              <w:rPr>
                <w:rFonts w:hint="eastAsia"/>
              </w:rPr>
              <w:t>PSO</w:t>
            </w:r>
            <w:r>
              <w:rPr>
                <w:rFonts w:hint="eastAsia"/>
              </w:rPr>
              <w:t>及其变体已在电力系统优化中形成较成熟应用</w:t>
            </w:r>
          </w:p>
        </w:tc>
      </w:tr>
      <w:tr w:rsidR="00295573" w14:paraId="3F43B494" w14:textId="77777777">
        <w:tc>
          <w:tcPr>
            <w:tcW w:w="0" w:type="auto"/>
          </w:tcPr>
          <w:p w14:paraId="72D24CAB" w14:textId="77777777" w:rsidR="00295573" w:rsidRDefault="00000000">
            <w:pPr>
              <w:pStyle w:val="Compact"/>
            </w:pPr>
            <w:r>
              <w:t>[49]</w:t>
            </w:r>
          </w:p>
        </w:tc>
        <w:tc>
          <w:tcPr>
            <w:tcW w:w="0" w:type="auto"/>
          </w:tcPr>
          <w:p w14:paraId="08D43642" w14:textId="77777777" w:rsidR="00295573" w:rsidRDefault="00000000">
            <w:pPr>
              <w:pStyle w:val="Compact"/>
            </w:pPr>
            <w:r>
              <w:t>Power Portfolio Optimization in Deregulated Electricity Markets With Risk Management</w:t>
            </w:r>
          </w:p>
        </w:tc>
        <w:tc>
          <w:tcPr>
            <w:tcW w:w="0" w:type="auto"/>
          </w:tcPr>
          <w:p w14:paraId="50323873" w14:textId="77777777" w:rsidR="00295573" w:rsidRDefault="00000000">
            <w:pPr>
              <w:pStyle w:val="Compact"/>
            </w:pPr>
            <w:r>
              <w:rPr>
                <w:rFonts w:hint="eastAsia"/>
              </w:rPr>
              <w:t>第二章</w:t>
            </w:r>
            <w:r>
              <w:rPr>
                <w:rFonts w:hint="eastAsia"/>
              </w:rPr>
              <w:t>2.2</w:t>
            </w:r>
            <w:r>
              <w:rPr>
                <w:rFonts w:hint="eastAsia"/>
              </w:rPr>
              <w:t>、</w:t>
            </w:r>
            <w:r>
              <w:rPr>
                <w:rFonts w:hint="eastAsia"/>
              </w:rPr>
              <w:t>2.5</w:t>
            </w:r>
          </w:p>
        </w:tc>
        <w:tc>
          <w:tcPr>
            <w:tcW w:w="0" w:type="auto"/>
          </w:tcPr>
          <w:p w14:paraId="31AC6FA4" w14:textId="77777777" w:rsidR="00295573" w:rsidRDefault="00000000">
            <w:pPr>
              <w:pStyle w:val="Compact"/>
            </w:pPr>
            <w:r>
              <w:rPr>
                <w:rFonts w:hint="eastAsia"/>
              </w:rPr>
              <w:t>电力组合优化研究已将多市场、多时段和风险管理统一建模</w:t>
            </w:r>
          </w:p>
        </w:tc>
      </w:tr>
      <w:tr w:rsidR="00295573" w14:paraId="750060D8" w14:textId="77777777">
        <w:tc>
          <w:tcPr>
            <w:tcW w:w="0" w:type="auto"/>
          </w:tcPr>
          <w:p w14:paraId="23736EFA" w14:textId="77777777" w:rsidR="00295573" w:rsidRDefault="00000000">
            <w:pPr>
              <w:pStyle w:val="Compact"/>
            </w:pPr>
            <w:r>
              <w:t>[50]</w:t>
            </w:r>
          </w:p>
        </w:tc>
        <w:tc>
          <w:tcPr>
            <w:tcW w:w="0" w:type="auto"/>
          </w:tcPr>
          <w:p w14:paraId="1E75452A" w14:textId="77777777" w:rsidR="00295573" w:rsidRDefault="00000000">
            <w:pPr>
              <w:pStyle w:val="Compact"/>
            </w:pPr>
            <w:r>
              <w:t>Reinforcement learning in sustainable energy and electric systems: a survey</w:t>
            </w:r>
          </w:p>
        </w:tc>
        <w:tc>
          <w:tcPr>
            <w:tcW w:w="0" w:type="auto"/>
          </w:tcPr>
          <w:p w14:paraId="13EB15A8" w14:textId="77777777" w:rsidR="00295573" w:rsidRDefault="00000000">
            <w:pPr>
              <w:pStyle w:val="Compact"/>
            </w:pPr>
            <w:r>
              <w:rPr>
                <w:rFonts w:hint="eastAsia"/>
              </w:rPr>
              <w:t>第一章</w:t>
            </w:r>
            <w:r>
              <w:rPr>
                <w:rFonts w:hint="eastAsia"/>
              </w:rPr>
              <w:t>1.3</w:t>
            </w:r>
            <w:r>
              <w:rPr>
                <w:rFonts w:hint="eastAsia"/>
              </w:rPr>
              <w:t>；第二章</w:t>
            </w:r>
            <w:r>
              <w:rPr>
                <w:rFonts w:hint="eastAsia"/>
              </w:rPr>
              <w:t>2.4</w:t>
            </w:r>
            <w:r>
              <w:rPr>
                <w:rFonts w:hint="eastAsia"/>
              </w:rPr>
              <w:t>、</w:t>
            </w:r>
            <w:r>
              <w:rPr>
                <w:rFonts w:hint="eastAsia"/>
              </w:rPr>
              <w:t>2.6</w:t>
            </w:r>
          </w:p>
        </w:tc>
        <w:tc>
          <w:tcPr>
            <w:tcW w:w="0" w:type="auto"/>
          </w:tcPr>
          <w:p w14:paraId="3CAA86C1" w14:textId="77777777" w:rsidR="00295573" w:rsidRDefault="00000000">
            <w:pPr>
              <w:pStyle w:val="Compact"/>
            </w:pPr>
            <w:r>
              <w:rPr>
                <w:rFonts w:hint="eastAsia"/>
              </w:rPr>
              <w:t>序贯学习方法适合处理能源系统中的连续动态决策问题</w:t>
            </w:r>
          </w:p>
        </w:tc>
      </w:tr>
      <w:tr w:rsidR="00295573" w14:paraId="2D3BE8B3" w14:textId="77777777">
        <w:tc>
          <w:tcPr>
            <w:tcW w:w="0" w:type="auto"/>
          </w:tcPr>
          <w:p w14:paraId="2A902A4B" w14:textId="77777777" w:rsidR="00295573" w:rsidRDefault="00000000">
            <w:pPr>
              <w:pStyle w:val="Compact"/>
            </w:pPr>
            <w:r>
              <w:t>[51]</w:t>
            </w:r>
          </w:p>
        </w:tc>
        <w:tc>
          <w:tcPr>
            <w:tcW w:w="0" w:type="auto"/>
          </w:tcPr>
          <w:p w14:paraId="77B34168" w14:textId="77777777" w:rsidR="00295573" w:rsidRDefault="00000000">
            <w:pPr>
              <w:pStyle w:val="Compact"/>
            </w:pPr>
            <w:r>
              <w:t>Risk assessment and management of electricity markets: A review with suggestions</w:t>
            </w:r>
          </w:p>
        </w:tc>
        <w:tc>
          <w:tcPr>
            <w:tcW w:w="0" w:type="auto"/>
          </w:tcPr>
          <w:p w14:paraId="32E11B88" w14:textId="77777777" w:rsidR="00295573" w:rsidRDefault="00000000">
            <w:pPr>
              <w:pStyle w:val="Compact"/>
            </w:pPr>
            <w:r>
              <w:rPr>
                <w:rFonts w:hint="eastAsia"/>
              </w:rPr>
              <w:t>第二章</w:t>
            </w:r>
            <w:r>
              <w:rPr>
                <w:rFonts w:hint="eastAsia"/>
              </w:rPr>
              <w:t>2.3</w:t>
            </w:r>
            <w:r>
              <w:rPr>
                <w:rFonts w:hint="eastAsia"/>
              </w:rPr>
              <w:t>、</w:t>
            </w:r>
            <w:r>
              <w:rPr>
                <w:rFonts w:hint="eastAsia"/>
              </w:rPr>
              <w:t>2.5</w:t>
            </w:r>
            <w:r>
              <w:rPr>
                <w:rFonts w:hint="eastAsia"/>
              </w:rPr>
              <w:t>、</w:t>
            </w:r>
            <w:r>
              <w:rPr>
                <w:rFonts w:hint="eastAsia"/>
              </w:rPr>
              <w:t>2.6</w:t>
            </w:r>
          </w:p>
        </w:tc>
        <w:tc>
          <w:tcPr>
            <w:tcW w:w="0" w:type="auto"/>
          </w:tcPr>
          <w:p w14:paraId="00EA07DA" w14:textId="77777777" w:rsidR="00295573" w:rsidRDefault="00000000">
            <w:pPr>
              <w:pStyle w:val="Compact"/>
            </w:pPr>
            <w:r>
              <w:rPr>
                <w:rFonts w:hint="eastAsia"/>
              </w:rPr>
              <w:t>电力市场风险管理研究正在由单一价格风险转向综合风险评估</w:t>
            </w:r>
          </w:p>
        </w:tc>
      </w:tr>
      <w:tr w:rsidR="00295573" w14:paraId="00897F88" w14:textId="77777777">
        <w:tc>
          <w:tcPr>
            <w:tcW w:w="0" w:type="auto"/>
          </w:tcPr>
          <w:p w14:paraId="6E5ADED6" w14:textId="77777777" w:rsidR="00295573" w:rsidRDefault="00000000">
            <w:pPr>
              <w:pStyle w:val="Compact"/>
            </w:pPr>
            <w:r>
              <w:t>[52]</w:t>
            </w:r>
          </w:p>
        </w:tc>
        <w:tc>
          <w:tcPr>
            <w:tcW w:w="0" w:type="auto"/>
          </w:tcPr>
          <w:p w14:paraId="2F23ABD8" w14:textId="77777777" w:rsidR="00295573" w:rsidRDefault="00000000">
            <w:pPr>
              <w:pStyle w:val="Compact"/>
            </w:pPr>
            <w:r>
              <w:t>The particle swarm - explosion, stability, and convergence in a multidimensional complex space</w:t>
            </w:r>
          </w:p>
        </w:tc>
        <w:tc>
          <w:tcPr>
            <w:tcW w:w="0" w:type="auto"/>
          </w:tcPr>
          <w:p w14:paraId="06845583" w14:textId="77777777" w:rsidR="00295573" w:rsidRDefault="00000000">
            <w:pPr>
              <w:pStyle w:val="Compact"/>
            </w:pPr>
            <w:r>
              <w:rPr>
                <w:rFonts w:hint="eastAsia"/>
              </w:rPr>
              <w:t>第二章</w:t>
            </w:r>
            <w:r>
              <w:rPr>
                <w:rFonts w:hint="eastAsia"/>
              </w:rPr>
              <w:t>2.4</w:t>
            </w:r>
          </w:p>
        </w:tc>
        <w:tc>
          <w:tcPr>
            <w:tcW w:w="0" w:type="auto"/>
          </w:tcPr>
          <w:p w14:paraId="1DD1467A" w14:textId="77777777" w:rsidR="00295573" w:rsidRDefault="00000000">
            <w:pPr>
              <w:pStyle w:val="Compact"/>
            </w:pPr>
            <w:r>
              <w:rPr>
                <w:rFonts w:hint="eastAsia"/>
              </w:rPr>
              <w:t>PSO</w:t>
            </w:r>
            <w:r>
              <w:rPr>
                <w:rFonts w:hint="eastAsia"/>
              </w:rPr>
              <w:t>的收敛性与稳定性研究为其在策略搜索中的应用提供理论参考</w:t>
            </w:r>
          </w:p>
        </w:tc>
      </w:tr>
      <w:tr w:rsidR="00295573" w14:paraId="66D9CB00" w14:textId="77777777">
        <w:tc>
          <w:tcPr>
            <w:tcW w:w="0" w:type="auto"/>
          </w:tcPr>
          <w:p w14:paraId="35EE2347" w14:textId="77777777" w:rsidR="00295573" w:rsidRDefault="00000000">
            <w:pPr>
              <w:pStyle w:val="Compact"/>
            </w:pPr>
            <w:r>
              <w:t>[53]</w:t>
            </w:r>
          </w:p>
        </w:tc>
        <w:tc>
          <w:tcPr>
            <w:tcW w:w="0" w:type="auto"/>
          </w:tcPr>
          <w:p w14:paraId="0BCC2E58" w14:textId="77777777" w:rsidR="00295573" w:rsidRDefault="00000000">
            <w:pPr>
              <w:pStyle w:val="Compact"/>
            </w:pPr>
            <w:r>
              <w:t>Theoretical and numerical constraint-handling techniques used with evolutionary algorithms: a survey of the state of the art</w:t>
            </w:r>
          </w:p>
        </w:tc>
        <w:tc>
          <w:tcPr>
            <w:tcW w:w="0" w:type="auto"/>
          </w:tcPr>
          <w:p w14:paraId="331A92DA" w14:textId="77777777" w:rsidR="00295573" w:rsidRDefault="00000000">
            <w:pPr>
              <w:pStyle w:val="Compact"/>
            </w:pPr>
            <w:r>
              <w:rPr>
                <w:rFonts w:hint="eastAsia"/>
              </w:rPr>
              <w:t>第一章</w:t>
            </w:r>
            <w:r>
              <w:rPr>
                <w:rFonts w:hint="eastAsia"/>
              </w:rPr>
              <w:t>1.3</w:t>
            </w:r>
            <w:r>
              <w:rPr>
                <w:rFonts w:hint="eastAsia"/>
              </w:rPr>
              <w:t>；第二章</w:t>
            </w:r>
            <w:r>
              <w:rPr>
                <w:rFonts w:hint="eastAsia"/>
              </w:rPr>
              <w:t>2.4</w:t>
            </w:r>
            <w:r>
              <w:rPr>
                <w:rFonts w:hint="eastAsia"/>
              </w:rPr>
              <w:t>、</w:t>
            </w:r>
            <w:r>
              <w:rPr>
                <w:rFonts w:hint="eastAsia"/>
              </w:rPr>
              <w:t>2.6</w:t>
            </w:r>
          </w:p>
        </w:tc>
        <w:tc>
          <w:tcPr>
            <w:tcW w:w="0" w:type="auto"/>
          </w:tcPr>
          <w:p w14:paraId="1D808778" w14:textId="77777777" w:rsidR="00295573" w:rsidRDefault="00000000">
            <w:pPr>
              <w:pStyle w:val="Compact"/>
            </w:pPr>
            <w:r>
              <w:rPr>
                <w:rFonts w:hint="eastAsia"/>
              </w:rPr>
              <w:t>复杂约束下的可行域搜索与约束处理有成熟的进化算法研究基础</w:t>
            </w:r>
          </w:p>
        </w:tc>
      </w:tr>
    </w:tbl>
    <w:p w14:paraId="4C4DB8FC" w14:textId="77777777" w:rsidR="00295573" w:rsidRDefault="00000000">
      <w:pPr>
        <w:pStyle w:val="2"/>
      </w:pPr>
      <w:bookmarkStart w:id="4" w:name="需人工复核清单"/>
      <w:bookmarkEnd w:id="3"/>
      <w:r>
        <w:rPr>
          <w:rFonts w:hint="eastAsia"/>
        </w:rPr>
        <w:t>需人工复核清单</w:t>
      </w:r>
    </w:p>
    <w:p w14:paraId="5CBE6A4C" w14:textId="77777777" w:rsidR="00295573" w:rsidRDefault="00000000">
      <w:pPr>
        <w:numPr>
          <w:ilvl w:val="0"/>
          <w:numId w:val="2"/>
        </w:numPr>
      </w:pPr>
      <w:r>
        <w:rPr>
          <w:b/>
          <w:bCs/>
        </w:rPr>
        <w:t xml:space="preserve">partial </w:t>
      </w:r>
      <w:r>
        <w:rPr>
          <w:rFonts w:hint="eastAsia"/>
          <w:b/>
          <w:bCs/>
        </w:rPr>
        <w:t>文献回查</w:t>
      </w:r>
      <w:r>
        <w:br/>
        <w:t xml:space="preserve">records </w:t>
      </w:r>
      <w:r>
        <w:rPr>
          <w:rFonts w:hint="eastAsia"/>
        </w:rPr>
        <w:t>中以下已使用文献为</w:t>
      </w:r>
      <w:r>
        <w:t xml:space="preserve"> </w:t>
      </w:r>
      <w:r>
        <w:rPr>
          <w:rFonts w:hint="eastAsia"/>
        </w:rPr>
        <w:t>partial</w:t>
      </w:r>
      <w:r>
        <w:rPr>
          <w:rFonts w:hint="eastAsia"/>
        </w:rPr>
        <w:t>，当前支撑主要依赖标题、摘要首段或正文抽取文本，建议在定稿前逐一回看原</w:t>
      </w:r>
      <w:r>
        <w:t xml:space="preserve"> PDF </w:t>
      </w:r>
      <w:r>
        <w:rPr>
          <w:rFonts w:hint="eastAsia"/>
        </w:rPr>
        <w:t>的摘要、模型设定与结论部</w:t>
      </w:r>
      <w:r>
        <w:rPr>
          <w:rFonts w:hint="eastAsia"/>
        </w:rPr>
        <w:lastRenderedPageBreak/>
        <w:t>分：</w:t>
      </w:r>
      <w:r>
        <w:br/>
        <w:t>[31]</w:t>
      </w:r>
      <w:r>
        <w:t>、</w:t>
      </w:r>
      <w:r>
        <w:t>[34]</w:t>
      </w:r>
      <w:r>
        <w:t>、</w:t>
      </w:r>
      <w:r>
        <w:t>[39]</w:t>
      </w:r>
      <w:r>
        <w:t>、</w:t>
      </w:r>
      <w:r>
        <w:t>[43]</w:t>
      </w:r>
      <w:r>
        <w:t>、</w:t>
      </w:r>
      <w:r>
        <w:t>[44]</w:t>
      </w:r>
      <w:r>
        <w:t>、</w:t>
      </w:r>
      <w:r>
        <w:t>[46]</w:t>
      </w:r>
      <w:r>
        <w:t>、</w:t>
      </w:r>
      <w:r>
        <w:t>[47]</w:t>
      </w:r>
      <w:r>
        <w:t>、</w:t>
      </w:r>
      <w:r>
        <w:t>[49]</w:t>
      </w:r>
      <w:r>
        <w:t>、</w:t>
      </w:r>
      <w:r>
        <w:t>[50]</w:t>
      </w:r>
      <w:r>
        <w:t>、</w:t>
      </w:r>
      <w:r>
        <w:t>[51]</w:t>
      </w:r>
      <w:r>
        <w:t>、</w:t>
      </w:r>
      <w:r>
        <w:t>[52]</w:t>
      </w:r>
      <w:r>
        <w:t>。</w:t>
      </w:r>
    </w:p>
    <w:p w14:paraId="1000BBC8" w14:textId="77777777" w:rsidR="00295573" w:rsidRDefault="00000000">
      <w:pPr>
        <w:numPr>
          <w:ilvl w:val="0"/>
          <w:numId w:val="2"/>
        </w:numPr>
      </w:pPr>
      <w:r>
        <w:rPr>
          <w:rFonts w:hint="eastAsia"/>
          <w:b/>
          <w:bCs/>
        </w:rPr>
        <w:t>最大回撤的文献依据</w:t>
      </w:r>
      <w:r>
        <w:br/>
      </w:r>
      <w:r>
        <w:rPr>
          <w:rFonts w:hint="eastAsia"/>
        </w:rPr>
        <w:t>本轮语料中未检出直接以“最大回撤”或同义术语为核心的售电公司购电策略文献。若后续实证章保留最大回撤指标，需补充分市场或金融回测文献；若不补充，建议保留“【待核对】”标记。</w:t>
      </w:r>
    </w:p>
    <w:p w14:paraId="073096CA" w14:textId="77777777" w:rsidR="00295573" w:rsidRDefault="00000000">
      <w:pPr>
        <w:numPr>
          <w:ilvl w:val="0"/>
          <w:numId w:val="2"/>
        </w:numPr>
      </w:pPr>
      <w:r>
        <w:rPr>
          <w:rFonts w:hint="eastAsia"/>
          <w:b/>
          <w:bCs/>
        </w:rPr>
        <w:t>政策时点的原文核验</w:t>
      </w:r>
      <w:r>
        <w:br/>
      </w:r>
      <w:r>
        <w:rPr>
          <w:rFonts w:hint="eastAsia"/>
        </w:rPr>
        <w:t>正文已按任务约束处理“发布时间—生效时间”区别，但涉及“</w:t>
      </w:r>
      <w:r>
        <w:rPr>
          <w:rFonts w:hint="eastAsia"/>
        </w:rPr>
        <w:t>2026</w:t>
      </w:r>
      <w:r>
        <w:rPr>
          <w:rFonts w:hint="eastAsia"/>
        </w:rPr>
        <w:t>年</w:t>
      </w:r>
      <w:r>
        <w:rPr>
          <w:rFonts w:hint="eastAsia"/>
        </w:rPr>
        <w:t>1</w:t>
      </w:r>
      <w:r>
        <w:rPr>
          <w:rFonts w:hint="eastAsia"/>
        </w:rPr>
        <w:t>月</w:t>
      </w:r>
      <w:r>
        <w:rPr>
          <w:rFonts w:hint="eastAsia"/>
        </w:rPr>
        <w:t>1</w:t>
      </w:r>
      <w:r>
        <w:rPr>
          <w:rFonts w:hint="eastAsia"/>
        </w:rPr>
        <w:t>日前不采用新能源机制电价执行口径”和“</w:t>
      </w:r>
      <w:r>
        <w:rPr>
          <w:rFonts w:hint="eastAsia"/>
        </w:rPr>
        <w:t>2026</w:t>
      </w:r>
      <w:r>
        <w:rPr>
          <w:rFonts w:hint="eastAsia"/>
        </w:rPr>
        <w:t>年</w:t>
      </w:r>
      <w:r>
        <w:rPr>
          <w:rFonts w:hint="eastAsia"/>
        </w:rPr>
        <w:t>2</w:t>
      </w:r>
      <w:r>
        <w:rPr>
          <w:rFonts w:hint="eastAsia"/>
        </w:rPr>
        <w:t>月年度多月交易前不预设‘</w:t>
      </w:r>
      <w:r>
        <w:rPr>
          <w:rFonts w:hint="eastAsia"/>
        </w:rPr>
        <w:t>40%</w:t>
      </w:r>
      <w:r>
        <w:rPr>
          <w:rFonts w:hint="eastAsia"/>
        </w:rPr>
        <w:t>固定价格</w:t>
      </w:r>
      <w:r>
        <w:rPr>
          <w:rFonts w:hint="eastAsia"/>
        </w:rPr>
        <w:t>+60%</w:t>
      </w:r>
      <w:r>
        <w:rPr>
          <w:rFonts w:hint="eastAsia"/>
        </w:rPr>
        <w:t>灵活价格’机制”的表述，仍需在最终版本中回查对应政策原文，确认发布时间、生效时间和适用范围三者一致。</w:t>
      </w:r>
    </w:p>
    <w:p w14:paraId="6E158086" w14:textId="77777777" w:rsidR="00295573" w:rsidRDefault="00000000">
      <w:pPr>
        <w:numPr>
          <w:ilvl w:val="0"/>
          <w:numId w:val="2"/>
        </w:numPr>
      </w:pPr>
      <w:r>
        <w:rPr>
          <w:rFonts w:hint="eastAsia"/>
          <w:b/>
          <w:bCs/>
        </w:rPr>
        <w:t>湖南本地规则原文补强</w:t>
      </w:r>
      <w:r>
        <w:br/>
      </w:r>
      <w:r>
        <w:rPr>
          <w:rFonts w:hint="eastAsia"/>
        </w:rPr>
        <w:t>若后续第三章至第五章需要明确写入“</w:t>
      </w:r>
      <w:r>
        <w:rPr>
          <w:rFonts w:hint="eastAsia"/>
        </w:rPr>
        <w:t>24</w:t>
      </w:r>
      <w:r>
        <w:rPr>
          <w:rFonts w:hint="eastAsia"/>
        </w:rPr>
        <w:t>时段分解”“</w:t>
      </w:r>
      <w:r>
        <w:rPr>
          <w:rFonts w:hint="eastAsia"/>
        </w:rPr>
        <w:t>96</w:t>
      </w:r>
      <w:r>
        <w:rPr>
          <w:rFonts w:hint="eastAsia"/>
        </w:rPr>
        <w:t>点结算”“</w:t>
      </w:r>
      <w:r>
        <w:rPr>
          <w:rFonts w:hint="eastAsia"/>
        </w:rPr>
        <w:t>15</w:t>
      </w:r>
      <w:r>
        <w:rPr>
          <w:rFonts w:hint="eastAsia"/>
        </w:rPr>
        <w:t>分钟代理结算”等更细化规则，建议补充湖南省内相应交易或结算规则原文出处。当前前两章已尽量避免超出现有语料直接支持范围的细节性规则表述。</w:t>
      </w:r>
    </w:p>
    <w:p w14:paraId="49F076E9" w14:textId="77777777" w:rsidR="00295573" w:rsidRDefault="00000000">
      <w:pPr>
        <w:numPr>
          <w:ilvl w:val="0"/>
          <w:numId w:val="2"/>
        </w:numPr>
      </w:pPr>
      <w:r>
        <w:rPr>
          <w:rFonts w:hint="eastAsia"/>
          <w:b/>
          <w:bCs/>
        </w:rPr>
        <w:t>题目中的</w:t>
      </w:r>
      <w:r>
        <w:rPr>
          <w:b/>
          <w:bCs/>
        </w:rPr>
        <w:t xml:space="preserve"> DRL </w:t>
      </w:r>
      <w:r>
        <w:rPr>
          <w:rFonts w:hint="eastAsia"/>
          <w:b/>
          <w:bCs/>
        </w:rPr>
        <w:t>与后续方法章节命名一致性</w:t>
      </w:r>
      <w:r>
        <w:br/>
      </w:r>
      <w:r>
        <w:rPr>
          <w:rFonts w:hint="eastAsia"/>
        </w:rPr>
        <w:t>论文题目使用“</w:t>
      </w:r>
      <w:r>
        <w:rPr>
          <w:rFonts w:hint="eastAsia"/>
        </w:rPr>
        <w:t>DRL</w:t>
      </w:r>
      <w:r>
        <w:rPr>
          <w:rFonts w:hint="eastAsia"/>
        </w:rPr>
        <w:t>驱动”，但现有章节安排材料中又出现“双层混合粒子群算法设计”的表述。正式定稿前需统一二者关系：是“</w:t>
      </w:r>
      <w:r>
        <w:rPr>
          <w:rFonts w:hint="eastAsia"/>
        </w:rPr>
        <w:t>DRL</w:t>
      </w:r>
      <w:r>
        <w:rPr>
          <w:rFonts w:hint="eastAsia"/>
        </w:rPr>
        <w:t>为主、</w:t>
      </w:r>
      <w:r>
        <w:rPr>
          <w:rFonts w:hint="eastAsia"/>
        </w:rPr>
        <w:t>HPSO</w:t>
      </w:r>
      <w:r>
        <w:rPr>
          <w:rFonts w:hint="eastAsia"/>
        </w:rPr>
        <w:t>为基准</w:t>
      </w:r>
      <w:r>
        <w:rPr>
          <w:rFonts w:hint="eastAsia"/>
        </w:rPr>
        <w:t>/</w:t>
      </w:r>
      <w:r>
        <w:rPr>
          <w:rFonts w:hint="eastAsia"/>
        </w:rPr>
        <w:t>辅助手段”，还是“题目需同步调整”。该问题若不统一，第一章中的研究方法、创新点与第四章方法名称会出现语义错位。</w:t>
      </w:r>
    </w:p>
    <w:p w14:paraId="290EA795" w14:textId="77777777" w:rsidR="00295573" w:rsidRDefault="00000000">
      <w:pPr>
        <w:numPr>
          <w:ilvl w:val="0"/>
          <w:numId w:val="2"/>
        </w:numPr>
      </w:pPr>
      <w:r>
        <w:rPr>
          <w:rFonts w:hint="eastAsia"/>
          <w:b/>
          <w:bCs/>
        </w:rPr>
        <w:t>英文学术文献题名完整性</w:t>
      </w:r>
      <w:r>
        <w:br/>
        <w:t xml:space="preserve">111.html </w:t>
      </w:r>
      <w:r>
        <w:rPr>
          <w:rFonts w:hint="eastAsia"/>
        </w:rPr>
        <w:t>中部分英文题名显示为截断样式，虽然正文与核对表已按可识别题名填写，但提交学校版参考文献时仍需回到原始文献条目，核对题名完整拼写与标点格式，确保符合</w:t>
      </w:r>
      <w:r>
        <w:t xml:space="preserve"> GB/T 7714—2015</w:t>
      </w:r>
      <w:r>
        <w:t>。</w:t>
      </w:r>
    </w:p>
    <w:p w14:paraId="323FB7ED" w14:textId="77777777" w:rsidR="00295573" w:rsidRDefault="00000000">
      <w:pPr>
        <w:numPr>
          <w:ilvl w:val="0"/>
          <w:numId w:val="2"/>
        </w:numPr>
      </w:pPr>
      <w:r>
        <w:rPr>
          <w:rFonts w:hint="eastAsia"/>
          <w:b/>
          <w:bCs/>
        </w:rPr>
        <w:t>字数与排版复核</w:t>
      </w:r>
      <w:r>
        <w:br/>
      </w:r>
      <w:r>
        <w:rPr>
          <w:rFonts w:hint="eastAsia"/>
        </w:rPr>
        <w:t>本稿已经按“第一章约</w:t>
      </w:r>
      <w:r>
        <w:rPr>
          <w:rFonts w:hint="eastAsia"/>
        </w:rPr>
        <w:t>1600</w:t>
      </w:r>
      <w:r>
        <w:rPr>
          <w:rFonts w:hint="eastAsia"/>
        </w:rPr>
        <w:t>字、第二章约</w:t>
      </w:r>
      <w:r>
        <w:rPr>
          <w:rFonts w:hint="eastAsia"/>
        </w:rPr>
        <w:t>2400</w:t>
      </w:r>
      <w:r>
        <w:rPr>
          <w:rFonts w:hint="eastAsia"/>
        </w:rPr>
        <w:t>字”的思路控制结构，但正式排版后仍需按学校模板统计净字数，并对过长段落进行二次压缩。</w:t>
      </w:r>
    </w:p>
    <w:p w14:paraId="517FCCCC" w14:textId="77777777" w:rsidR="00295573" w:rsidRDefault="00000000">
      <w:pPr>
        <w:numPr>
          <w:ilvl w:val="0"/>
          <w:numId w:val="2"/>
        </w:numPr>
      </w:pPr>
      <w:r>
        <w:rPr>
          <w:rFonts w:hint="eastAsia"/>
          <w:b/>
          <w:bCs/>
        </w:rPr>
        <w:t>封闭语料外新增文献</w:t>
      </w:r>
      <w:r>
        <w:br/>
      </w:r>
      <w:r>
        <w:rPr>
          <w:rFonts w:hint="eastAsia"/>
        </w:rPr>
        <w:t>无。本文本未额外引入封闭语料之外的新参考文献。</w:t>
      </w:r>
    </w:p>
    <w:bookmarkEnd w:id="0"/>
    <w:bookmarkEnd w:id="1"/>
    <w:bookmarkEnd w:id="4"/>
    <w:p w14:paraId="2EE095D0" w14:textId="77777777" w:rsidR="00295573" w:rsidRDefault="00000000">
      <w:r>
        <w:pict w14:anchorId="78E00F05">
          <v:rect id="_x0000_i1025" style="width:0;height:1.5pt" o:hralign="center" o:hrstd="t" o:hr="t"/>
        </w:pict>
      </w:r>
      <w:bookmarkStart w:id="5" w:name="citations"/>
      <w:bookmarkEnd w:id="5"/>
    </w:p>
    <w:sectPr w:rsidR="00295573">
      <w:footnotePr>
        <w:numRestart w:val="eachSect"/>
      </w:footnotePr>
      <w:pgSz w:w="12240" w:h="15840"/>
      <w:pgMar w:top="1440" w:right="1800" w:bottom="144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Consolas">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F3B61B4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201"/>
    <w:multiLevelType w:val="multilevel"/>
    <w:tmpl w:val="F01E37B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16cid:durableId="1440295996">
    <w:abstractNumId w:val="0"/>
  </w:num>
  <w:num w:numId="2" w16cid:durableId="108838288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295573"/>
    <w:rsid w:val="00295573"/>
    <w:rsid w:val="002C16C5"/>
    <w:rsid w:val="004E693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AD7297"/>
  <w15:docId w15:val="{7E3D6739-4982-4E8B-9C45-7C26341B41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a5">
    <w:name w:val="标题 字符"/>
    <w:basedOn w:val="a1"/>
    <w:link w:val="a4"/>
    <w:uiPriority w:val="10"/>
    <w:rsid w:val="00A10FD9"/>
    <w:rPr>
      <w:rFonts w:asciiTheme="majorHAnsi" w:eastAsiaTheme="majorEastAsia" w:hAnsiTheme="majorHAnsi" w:cstheme="majorBidi"/>
      <w:spacing w:val="-10"/>
      <w:kern w:val="28"/>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标题 字符"/>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next w:val="a0"/>
    <w:qFormat/>
    <w:pPr>
      <w:keepNext/>
      <w:keepLines/>
      <w:jc w:val="center"/>
    </w:pPr>
  </w:style>
  <w:style w:type="paragraph" w:styleId="a8">
    <w:name w:val="Date"/>
    <w:next w:val="a0"/>
    <w:qFormat/>
    <w:pPr>
      <w:keepNext/>
      <w:keepLines/>
      <w:jc w:val="center"/>
    </w:p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标题 1 字符"/>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标题 2 字符"/>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标题 3 字符"/>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标题 4 字符"/>
    <w:basedOn w:val="a1"/>
    <w:link w:val="4"/>
    <w:uiPriority w:val="9"/>
    <w:semiHidden/>
    <w:rsid w:val="00A10FD9"/>
    <w:rPr>
      <w:rFonts w:eastAsiaTheme="majorEastAsia" w:cstheme="majorBidi"/>
      <w:i/>
      <w:iCs/>
      <w:color w:val="0F4761" w:themeColor="accent1" w:themeShade="BF"/>
    </w:rPr>
  </w:style>
  <w:style w:type="character" w:customStyle="1" w:styleId="50">
    <w:name w:val="标题 5 字符"/>
    <w:basedOn w:val="a1"/>
    <w:link w:val="5"/>
    <w:uiPriority w:val="9"/>
    <w:semiHidden/>
    <w:rsid w:val="00A10FD9"/>
    <w:rPr>
      <w:rFonts w:eastAsiaTheme="majorEastAsia" w:cstheme="majorBidi"/>
      <w:color w:val="0F4761" w:themeColor="accent1" w:themeShade="BF"/>
    </w:rPr>
  </w:style>
  <w:style w:type="character" w:customStyle="1" w:styleId="60">
    <w:name w:val="标题 6 字符"/>
    <w:basedOn w:val="a1"/>
    <w:link w:val="6"/>
    <w:uiPriority w:val="9"/>
    <w:semiHidden/>
    <w:rsid w:val="00A10FD9"/>
    <w:rPr>
      <w:rFonts w:eastAsiaTheme="majorEastAsia" w:cstheme="majorBidi"/>
      <w:i/>
      <w:iCs/>
      <w:color w:val="595959" w:themeColor="text1" w:themeTint="A6"/>
    </w:rPr>
  </w:style>
  <w:style w:type="character" w:customStyle="1" w:styleId="70">
    <w:name w:val="标题 7 字符"/>
    <w:basedOn w:val="a1"/>
    <w:link w:val="7"/>
    <w:uiPriority w:val="9"/>
    <w:semiHidden/>
    <w:rsid w:val="00A10FD9"/>
    <w:rPr>
      <w:rFonts w:eastAsiaTheme="majorEastAsia" w:cstheme="majorBidi"/>
      <w:color w:val="595959" w:themeColor="text1" w:themeTint="A6"/>
    </w:rPr>
  </w:style>
  <w:style w:type="character" w:customStyle="1" w:styleId="80">
    <w:name w:val="标题 8 字符"/>
    <w:basedOn w:val="a1"/>
    <w:link w:val="8"/>
    <w:uiPriority w:val="9"/>
    <w:semiHidden/>
    <w:rsid w:val="00A10FD9"/>
    <w:rPr>
      <w:rFonts w:eastAsiaTheme="majorEastAsia" w:cstheme="majorBidi"/>
      <w:i/>
      <w:iCs/>
      <w:color w:val="272727" w:themeColor="text1" w:themeTint="D8"/>
    </w:rPr>
  </w:style>
  <w:style w:type="character" w:customStyle="1" w:styleId="90">
    <w:name w:val="标题 9 字符"/>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题注 字符"/>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TOC">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Pages>
  <Words>1400</Words>
  <Characters>7980</Characters>
  <Application>Microsoft Office Word</Application>
  <DocSecurity>0</DocSecurity>
  <Lines>66</Lines>
  <Paragraphs>18</Paragraphs>
  <ScaleCrop>false</ScaleCrop>
  <Company/>
  <LinksUpToDate>false</LinksUpToDate>
  <CharactersWithSpaces>9362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Xuanzhe Du</cp:lastModifiedBy>
  <cp:revision>3</cp:revision>
  <dcterms:created xsi:type="dcterms:W3CDTF">2026-05-13T04:57:00Z</dcterms:created>
  <dcterms:modified xsi:type="dcterms:W3CDTF">2026-05-13T05:06:00Z</dcterms:modified>
  <dc:language>zh-CN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ChatGPT Deep Research</vt:lpwstr>
  </property>
</Properties>
</file>