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117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1021080</wp:posOffset>
            </wp:positionH>
            <wp:positionV relativeFrom="page">
              <wp:posOffset>5358130</wp:posOffset>
            </wp:positionV>
            <wp:extent cx="5871210" cy="32147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214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5346700</wp:posOffset>
            </wp:positionV>
            <wp:extent cx="5588000" cy="2921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3538220</wp:posOffset>
            </wp:positionH>
            <wp:positionV relativeFrom="page">
              <wp:posOffset>5739130</wp:posOffset>
            </wp:positionV>
            <wp:extent cx="838200" cy="32011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201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3530600</wp:posOffset>
            </wp:positionH>
            <wp:positionV relativeFrom="page">
              <wp:posOffset>5727700</wp:posOffset>
            </wp:positionV>
            <wp:extent cx="571500" cy="292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</wp:posOffset>
            </wp:positionH>
            <wp:positionV relativeFrom="page">
              <wp:posOffset>4914900</wp:posOffset>
            </wp:positionV>
            <wp:extent cx="5645150" cy="2962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9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18000" cy="58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84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60"/>
        <w:gridCol w:w="1260"/>
        <w:gridCol w:w="1260"/>
        <w:gridCol w:w="1240"/>
        <w:gridCol w:w="1240"/>
        <w:gridCol w:w="1120"/>
        <w:gridCol w:w="1580"/>
      </w:tblGrid>
      <w:tr>
        <w:trPr>
          <w:trHeight w:hRule="exact" w:val="1040"/>
        </w:trPr>
        <w:tc>
          <w:tcPr>
            <w:tcW w:type="dxa" w:w="7280"/>
            <w:gridSpan w:val="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0" cy="584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2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50900" cy="5207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520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040"/>
        </w:trPr>
        <w:tc>
          <w:tcPr>
            <w:tcW w:type="dxa" w:w="1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55600" cy="558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300" cy="571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8300" cy="558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600" cy="571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5600" cy="55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55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55600" cy="546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54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11"/>
            <w:vMerge/>
          </w:tcPr>
          <w:p/>
        </w:tc>
      </w:tr>
    </w:tbl>
    <w:p>
      <w:pPr>
        <w:autoSpaceDN w:val="0"/>
        <w:autoSpaceDE w:val="0"/>
        <w:widowControl/>
        <w:spacing w:line="368" w:lineRule="exact" w:before="1380" w:after="0"/>
        <w:ind w:left="0" w:right="0" w:firstLine="0"/>
        <w:jc w:val="center"/>
      </w:pPr>
      <w:r>
        <w:rPr>
          <w:rFonts w:ascii="8Nm6mGed+FangSong_GB2312" w:hAnsi="8Nm6mGed+FangSong_GB2312" w:eastAsia="8Nm6mGed+FangSong_GB2312"/>
          <w:color w:val="000000"/>
          <w:sz w:val="32"/>
        </w:rPr>
        <w:t>湘监能市场„</w:t>
      </w:r>
      <w:r>
        <w:rPr>
          <w:rFonts w:ascii="Times New Roman" w:hAnsi="Times New Roman" w:eastAsia="Times New Roman"/>
          <w:color w:val="000000"/>
          <w:sz w:val="32"/>
        </w:rPr>
        <w:t>2025</w:t>
      </w:r>
      <w:r>
        <w:rPr>
          <w:rFonts w:ascii="8Nm6mGed+FangSong_GB2312" w:hAnsi="8Nm6mGed+FangSong_GB2312" w:eastAsia="8Nm6mGed+FangSong_GB2312"/>
          <w:color w:val="000000"/>
          <w:sz w:val="32"/>
        </w:rPr>
        <w:t>‟</w:t>
      </w:r>
      <w:r>
        <w:rPr>
          <w:rFonts w:ascii="Times New Roman" w:hAnsi="Times New Roman" w:eastAsia="Times New Roman"/>
          <w:color w:val="000000"/>
          <w:sz w:val="32"/>
        </w:rPr>
        <w:t>57</w:t>
      </w:r>
      <w:r>
        <w:rPr>
          <w:rFonts w:ascii="8Nm6mGed+FangSong_GB2312" w:hAnsi="8Nm6mGed+FangSong_GB2312" w:eastAsia="8Nm6mGed+FangSong_GB2312"/>
          <w:color w:val="000000"/>
          <w:sz w:val="32"/>
        </w:rPr>
        <w:t>号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608" w:lineRule="exact" w:before="2468" w:after="0"/>
        <w:ind w:left="150" w:right="144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国网湖南省电力有限公司，湖南电力交易中心有限公司，各有关</w:t>
      </w:r>
      <w:r>
        <w:rPr>
          <w:rFonts w:ascii="8Nm6mGed+FangSong_GB2312" w:hAnsi="8Nm6mGed+FangSong_GB2312" w:eastAsia="8Nm6mGed+FangSong_GB2312"/>
          <w:color w:val="000000"/>
          <w:sz w:val="32"/>
        </w:rPr>
        <w:t>发电企业、售电公司、电力用户、新型经营主体：</w:t>
      </w:r>
      <w:r>
        <w:rPr>
          <w:rFonts w:ascii="2Xl43HlU+Calibri" w:hAnsi="2Xl43HlU+Calibri" w:eastAsia="2Xl43HlU+Calibri"/>
          <w:color w:val="000000"/>
          <w:sz w:val="21"/>
        </w:rPr>
        <w:t xml:space="preserve"> </w:t>
      </w:r>
    </w:p>
    <w:p>
      <w:pPr>
        <w:autoSpaceDN w:val="0"/>
        <w:autoSpaceDE w:val="0"/>
        <w:widowControl/>
        <w:spacing w:line="604" w:lineRule="exact" w:before="0" w:after="0"/>
        <w:ind w:left="150" w:right="0" w:firstLine="64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为进一步加强湖南省电力辅助服务市场建设，根据《电力辅</w:t>
      </w:r>
      <w:r>
        <w:rPr>
          <w:rFonts w:ascii="8Nm6mGed+FangSong_GB2312" w:hAnsi="8Nm6mGed+FangSong_GB2312" w:eastAsia="8Nm6mGed+FangSong_GB2312"/>
          <w:color w:val="000000"/>
          <w:sz w:val="32"/>
        </w:rPr>
        <w:t>助服务市场基本规则》（发改能源规„</w:t>
      </w:r>
      <w:r>
        <w:rPr>
          <w:rFonts w:ascii="Times New Roman" w:hAnsi="Times New Roman" w:eastAsia="Times New Roman"/>
          <w:color w:val="000000"/>
          <w:sz w:val="32"/>
        </w:rPr>
        <w:t>2025</w:t>
      </w:r>
      <w:r>
        <w:rPr>
          <w:rFonts w:ascii="8Nm6mGed+FangSong_GB2312" w:hAnsi="8Nm6mGed+FangSong_GB2312" w:eastAsia="8Nm6mGed+FangSong_GB2312"/>
          <w:color w:val="000000"/>
          <w:sz w:val="32"/>
        </w:rPr>
        <w:t>‟</w:t>
      </w:r>
      <w:r>
        <w:rPr>
          <w:rFonts w:ascii="Times New Roman" w:hAnsi="Times New Roman" w:eastAsia="Times New Roman"/>
          <w:color w:val="000000"/>
          <w:sz w:val="32"/>
        </w:rPr>
        <w:t>411</w:t>
      </w:r>
      <w:r>
        <w:rPr>
          <w:rFonts w:ascii="8Nm6mGed+FangSong_GB2312" w:hAnsi="8Nm6mGed+FangSong_GB2312" w:eastAsia="8Nm6mGed+FangSong_GB2312"/>
          <w:color w:val="000000"/>
          <w:sz w:val="32"/>
        </w:rPr>
        <w:t>号）《国家发展</w:t>
      </w:r>
      <w:r>
        <w:rPr>
          <w:rFonts w:ascii="8Nm6mGed+FangSong_GB2312" w:hAnsi="8Nm6mGed+FangSong_GB2312" w:eastAsia="8Nm6mGed+FangSong_GB2312"/>
          <w:color w:val="000000"/>
          <w:sz w:val="32"/>
        </w:rPr>
        <w:t>改革委国家能源局关于建立健全电力辅助服务市场价格机制的</w:t>
      </w:r>
      <w:r>
        <w:rPr>
          <w:rFonts w:ascii="8Nm6mGed+FangSong_GB2312" w:hAnsi="8Nm6mGed+FangSong_GB2312" w:eastAsia="8Nm6mGed+FangSong_GB2312"/>
          <w:color w:val="000000"/>
          <w:sz w:val="32"/>
        </w:rPr>
        <w:t>通知》（发改价格„</w:t>
      </w:r>
      <w:r>
        <w:rPr>
          <w:rFonts w:ascii="Times New Roman" w:hAnsi="Times New Roman" w:eastAsia="Times New Roman"/>
          <w:color w:val="000000"/>
          <w:sz w:val="32"/>
        </w:rPr>
        <w:t>2024</w:t>
      </w:r>
      <w:r>
        <w:rPr>
          <w:rFonts w:ascii="8Nm6mGed+FangSong_GB2312" w:hAnsi="8Nm6mGed+FangSong_GB2312" w:eastAsia="8Nm6mGed+FangSong_GB2312"/>
          <w:color w:val="000000"/>
          <w:sz w:val="32"/>
        </w:rPr>
        <w:t>‟</w:t>
      </w:r>
      <w:r>
        <w:rPr>
          <w:rFonts w:ascii="Times New Roman" w:hAnsi="Times New Roman" w:eastAsia="Times New Roman"/>
          <w:color w:val="000000"/>
          <w:sz w:val="32"/>
        </w:rPr>
        <w:t>196</w:t>
      </w:r>
      <w:r>
        <w:rPr>
          <w:rFonts w:ascii="8Nm6mGed+FangSong_GB2312" w:hAnsi="8Nm6mGed+FangSong_GB2312" w:eastAsia="8Nm6mGed+FangSong_GB2312"/>
          <w:color w:val="000000"/>
          <w:sz w:val="32"/>
        </w:rPr>
        <w:t>号）等文件要求，结合湖南实际，</w:t>
      </w:r>
      <w:r>
        <w:rPr>
          <w:rFonts w:ascii="8Nm6mGed+FangSong_GB2312" w:hAnsi="8Nm6mGed+FangSong_GB2312" w:eastAsia="8Nm6mGed+FangSong_GB2312"/>
          <w:color w:val="000000"/>
          <w:sz w:val="32"/>
        </w:rPr>
        <w:t>现就湖南电力辅助服务市场有关事项明确如下。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86" w:lineRule="exact" w:before="1014" w:after="0"/>
        <w:ind w:left="8294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- 1 -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390" w:right="1292" w:bottom="624" w:left="1440" w:header="720" w:footer="720" w:gutter="0"/>
          <w:cols w:num="1" w:equalWidth="0" w:space="720">
            <w:col w:w="917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932" w:after="0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一、加强电力调峰辅助服务与电力现货市场运行衔接，电力</w:t>
      </w:r>
    </w:p>
    <w:p>
      <w:pPr>
        <w:autoSpaceDN w:val="0"/>
        <w:autoSpaceDE w:val="0"/>
        <w:widowControl/>
        <w:spacing w:line="614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现货市场试运行期间，调峰辅助服务市场暂停运行，调峰辅助服</w:t>
      </w:r>
      <w:r>
        <w:rPr>
          <w:rFonts w:ascii="8Nm6mGed+FangSong_GB2312" w:hAnsi="8Nm6mGed+FangSong_GB2312" w:eastAsia="8Nm6mGed+FangSong_GB2312"/>
          <w:color w:val="000000"/>
          <w:sz w:val="32"/>
        </w:rPr>
        <w:t>务不予补偿。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tabs>
          <w:tab w:pos="790" w:val="left"/>
        </w:tabs>
        <w:autoSpaceDE w:val="0"/>
        <w:widowControl/>
        <w:spacing w:line="600" w:lineRule="exact" w:before="0" w:after="0"/>
        <w:ind w:left="150" w:right="0" w:firstLine="0"/>
        <w:jc w:val="left"/>
      </w:pP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二、抽水蓄能电站容量电价政策实施后，抽水蓄能电站不再</w:t>
      </w:r>
      <w:r>
        <w:rPr>
          <w:rFonts w:ascii="8Nm6mGed+FangSong_GB2312" w:hAnsi="8Nm6mGed+FangSong_GB2312" w:eastAsia="8Nm6mGed+FangSong_GB2312"/>
          <w:color w:val="000000"/>
          <w:sz w:val="32"/>
        </w:rPr>
        <w:t>作为省内调峰辅助服务市场服务卖方参与市场。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20" w:lineRule="exact" w:before="254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三、优化新型储能参与调峰辅助服务市场机制，火电、新型</w:t>
      </w:r>
    </w:p>
    <w:p>
      <w:pPr>
        <w:autoSpaceDN w:val="0"/>
        <w:autoSpaceDE w:val="0"/>
        <w:widowControl/>
        <w:spacing w:line="614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储能等主体在省内调峰辅助服务市场交易中以报价排序形成调</w:t>
      </w:r>
      <w:r>
        <w:rPr>
          <w:rFonts w:ascii="8Nm6mGed+FangSong_GB2312" w:hAnsi="8Nm6mGed+FangSong_GB2312" w:eastAsia="8Nm6mGed+FangSong_GB2312"/>
          <w:color w:val="000000"/>
          <w:sz w:val="32"/>
        </w:rPr>
        <w:t>用排序，促进公平调用各类调节资源。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600" w:lineRule="exact" w:before="0" w:after="0"/>
        <w:ind w:left="150" w:right="32" w:firstLine="640"/>
        <w:jc w:val="both"/>
      </w:pPr>
      <w:r>
        <w:rPr>
          <w:rFonts w:ascii="8Nm6mGed+FangSong_GB2312" w:hAnsi="8Nm6mGed+FangSong_GB2312" w:eastAsia="8Nm6mGed+FangSong_GB2312"/>
          <w:color w:val="000000"/>
          <w:sz w:val="32"/>
        </w:rPr>
        <w:t>四、省内调峰辅助服务市场价格上限不高于我省平价新能源</w:t>
      </w:r>
      <w:r>
        <w:rPr>
          <w:rFonts w:ascii="8Nm6mGed+FangSong_GB2312" w:hAnsi="8Nm6mGed+FangSong_GB2312" w:eastAsia="8Nm6mGed+FangSong_GB2312"/>
          <w:color w:val="000000"/>
          <w:sz w:val="32"/>
        </w:rPr>
        <w:t>项目的上网电价</w:t>
      </w:r>
      <w:r>
        <w:rPr>
          <w:rFonts w:ascii="Times New Roman" w:hAnsi="Times New Roman" w:eastAsia="Times New Roman"/>
          <w:color w:val="000000"/>
          <w:sz w:val="32"/>
        </w:rPr>
        <w:t>450</w:t>
      </w:r>
      <w:r>
        <w:rPr>
          <w:rFonts w:ascii="8Nm6mGed+FangSong_GB2312" w:hAnsi="8Nm6mGed+FangSong_GB2312" w:eastAsia="8Nm6mGed+FangSong_GB2312"/>
          <w:color w:val="000000"/>
          <w:sz w:val="32"/>
        </w:rPr>
        <w:t>元</w:t>
      </w:r>
      <w:r>
        <w:rPr>
          <w:rFonts w:ascii="Times New Roman" w:hAnsi="Times New Roman" w:eastAsia="Times New Roman"/>
          <w:color w:val="000000"/>
          <w:sz w:val="32"/>
        </w:rPr>
        <w:t>/</w:t>
      </w:r>
      <w:r>
        <w:rPr>
          <w:rFonts w:ascii="8Nm6mGed+FangSong_GB2312" w:hAnsi="8Nm6mGed+FangSong_GB2312" w:eastAsia="8Nm6mGed+FangSong_GB2312"/>
          <w:color w:val="000000"/>
          <w:sz w:val="32"/>
        </w:rPr>
        <w:t>兆瓦时。其中，火电调峰第四档、第五</w:t>
      </w:r>
      <w:r>
        <w:rPr>
          <w:rFonts w:ascii="8Nm6mGed+FangSong_GB2312" w:hAnsi="8Nm6mGed+FangSong_GB2312" w:eastAsia="8Nm6mGed+FangSong_GB2312"/>
          <w:color w:val="000000"/>
          <w:sz w:val="32"/>
        </w:rPr>
        <w:t>档报价限额分别为</w:t>
      </w:r>
      <w:r>
        <w:rPr>
          <w:rFonts w:ascii="Times New Roman" w:hAnsi="Times New Roman" w:eastAsia="Times New Roman"/>
          <w:color w:val="000000"/>
          <w:sz w:val="32"/>
        </w:rPr>
        <w:t>400</w:t>
      </w:r>
      <w:r>
        <w:rPr>
          <w:rFonts w:ascii="8Nm6mGed+FangSong_GB2312" w:hAnsi="8Nm6mGed+FangSong_GB2312" w:eastAsia="8Nm6mGed+FangSong_GB2312"/>
          <w:color w:val="000000"/>
          <w:sz w:val="32"/>
        </w:rPr>
        <w:t>元</w:t>
      </w:r>
      <w:r>
        <w:rPr>
          <w:rFonts w:ascii="Times New Roman" w:hAnsi="Times New Roman" w:eastAsia="Times New Roman"/>
          <w:color w:val="000000"/>
          <w:sz w:val="32"/>
        </w:rPr>
        <w:t>/</w:t>
      </w:r>
      <w:r>
        <w:rPr>
          <w:rFonts w:ascii="8Nm6mGed+FangSong_GB2312" w:hAnsi="8Nm6mGed+FangSong_GB2312" w:eastAsia="8Nm6mGed+FangSong_GB2312"/>
          <w:color w:val="000000"/>
          <w:sz w:val="32"/>
        </w:rPr>
        <w:t>兆瓦时、</w:t>
      </w:r>
      <w:r>
        <w:rPr>
          <w:rFonts w:ascii="Times New Roman" w:hAnsi="Times New Roman" w:eastAsia="Times New Roman"/>
          <w:color w:val="000000"/>
          <w:sz w:val="32"/>
        </w:rPr>
        <w:t>450</w:t>
      </w:r>
      <w:r>
        <w:rPr>
          <w:rFonts w:ascii="8Nm6mGed+FangSong_GB2312" w:hAnsi="8Nm6mGed+FangSong_GB2312" w:eastAsia="8Nm6mGed+FangSong_GB2312"/>
          <w:color w:val="000000"/>
          <w:sz w:val="32"/>
        </w:rPr>
        <w:t>元</w:t>
      </w:r>
      <w:r>
        <w:rPr>
          <w:rFonts w:ascii="Times New Roman" w:hAnsi="Times New Roman" w:eastAsia="Times New Roman"/>
          <w:color w:val="000000"/>
          <w:sz w:val="32"/>
        </w:rPr>
        <w:t>/</w:t>
      </w:r>
      <w:r>
        <w:rPr>
          <w:rFonts w:ascii="8Nm6mGed+FangSong_GB2312" w:hAnsi="8Nm6mGed+FangSong_GB2312" w:eastAsia="8Nm6mGed+FangSong_GB2312"/>
          <w:color w:val="000000"/>
          <w:sz w:val="32"/>
        </w:rPr>
        <w:t>兆瓦时；新型储能报</w:t>
      </w:r>
      <w:r>
        <w:rPr>
          <w:rFonts w:ascii="8Nm6mGed+FangSong_GB2312" w:hAnsi="8Nm6mGed+FangSong_GB2312" w:eastAsia="8Nm6mGed+FangSong_GB2312"/>
          <w:color w:val="000000"/>
          <w:sz w:val="32"/>
        </w:rPr>
        <w:t>价限额为</w:t>
      </w:r>
      <w:r>
        <w:rPr>
          <w:rFonts w:ascii="Times New Roman" w:hAnsi="Times New Roman" w:eastAsia="Times New Roman"/>
          <w:color w:val="000000"/>
          <w:sz w:val="32"/>
        </w:rPr>
        <w:t>450</w:t>
      </w:r>
      <w:r>
        <w:rPr>
          <w:rFonts w:ascii="8Nm6mGed+FangSong_GB2312" w:hAnsi="8Nm6mGed+FangSong_GB2312" w:eastAsia="8Nm6mGed+FangSong_GB2312"/>
          <w:color w:val="000000"/>
          <w:sz w:val="32"/>
        </w:rPr>
        <w:t>元</w:t>
      </w:r>
      <w:r>
        <w:rPr>
          <w:rFonts w:ascii="Times New Roman" w:hAnsi="Times New Roman" w:eastAsia="Times New Roman"/>
          <w:color w:val="000000"/>
          <w:sz w:val="32"/>
        </w:rPr>
        <w:t>/</w:t>
      </w:r>
      <w:r>
        <w:rPr>
          <w:rFonts w:ascii="8Nm6mGed+FangSong_GB2312" w:hAnsi="8Nm6mGed+FangSong_GB2312" w:eastAsia="8Nm6mGed+FangSong_GB2312"/>
          <w:color w:val="000000"/>
          <w:sz w:val="32"/>
        </w:rPr>
        <w:t>兆瓦时。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20" w:lineRule="exact" w:before="254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五、优化省内调峰辅助服务费用调节系数的计算方式，将暂</w:t>
      </w:r>
    </w:p>
    <w:p>
      <w:pPr>
        <w:autoSpaceDN w:val="0"/>
        <w:autoSpaceDE w:val="0"/>
        <w:widowControl/>
        <w:spacing w:line="320" w:lineRule="exact" w:before="28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未纳入分摊经营主体应承担的辅助服务费用剔除，调节系数为纳</w:t>
      </w:r>
    </w:p>
    <w:p>
      <w:pPr>
        <w:autoSpaceDN w:val="0"/>
        <w:autoSpaceDE w:val="0"/>
        <w:widowControl/>
        <w:spacing w:line="614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入分摊的日电量占当日调度总发受电日电量的比例，由电力调度</w:t>
      </w:r>
      <w:r>
        <w:rPr>
          <w:rFonts w:ascii="8Nm6mGed+FangSong_GB2312" w:hAnsi="8Nm6mGed+FangSong_GB2312" w:eastAsia="8Nm6mGed+FangSong_GB2312"/>
          <w:color w:val="000000"/>
          <w:sz w:val="32"/>
        </w:rPr>
        <w:t>机构按日计算并公布。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20" w:lineRule="exact" w:before="252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六、水电纳入华中省间电力调峰辅助服务市场湖南电网售出</w:t>
      </w:r>
    </w:p>
    <w:p>
      <w:pPr>
        <w:autoSpaceDN w:val="0"/>
        <w:autoSpaceDE w:val="0"/>
        <w:widowControl/>
        <w:spacing w:line="320" w:lineRule="exact" w:before="28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电量的交易范围，当交易时段我省售出电量高于新能源主体扣除</w:t>
      </w:r>
    </w:p>
    <w:p>
      <w:pPr>
        <w:autoSpaceDN w:val="0"/>
        <w:autoSpaceDE w:val="0"/>
        <w:widowControl/>
        <w:spacing w:line="614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省间现货后的上网电量时，剩余部分售出电量按照交易时段水电</w:t>
      </w:r>
      <w:r>
        <w:rPr>
          <w:rFonts w:ascii="8Nm6mGed+FangSong_GB2312" w:hAnsi="8Nm6mGed+FangSong_GB2312" w:eastAsia="8Nm6mGed+FangSong_GB2312"/>
          <w:color w:val="000000"/>
          <w:sz w:val="32"/>
        </w:rPr>
        <w:t>主体上网电量占比分摊。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18" w:lineRule="exact" w:before="254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七、经湖南电力市场管理委员会审议通过，对《湖南省电力</w:t>
      </w:r>
    </w:p>
    <w:p>
      <w:pPr>
        <w:autoSpaceDN w:val="0"/>
        <w:autoSpaceDE w:val="0"/>
        <w:widowControl/>
        <w:spacing w:line="286" w:lineRule="exact" w:before="682" w:after="0"/>
        <w:ind w:left="150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- 2 -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152" w:right="1440" w:bottom="62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922" w:after="0"/>
        <w:ind w:left="0" w:right="0"/>
      </w:pPr>
    </w:p>
    <w:p>
      <w:pPr>
        <w:autoSpaceDN w:val="0"/>
        <w:autoSpaceDE w:val="0"/>
        <w:widowControl/>
        <w:spacing w:line="522" w:lineRule="exact" w:before="0" w:after="0"/>
        <w:ind w:left="150" w:right="180" w:firstLine="0"/>
        <w:jc w:val="both"/>
      </w:pPr>
      <w:r>
        <w:rPr>
          <w:rFonts w:ascii="8Nm6mGed+FangSong_GB2312" w:hAnsi="8Nm6mGed+FangSong_GB2312" w:eastAsia="8Nm6mGed+FangSong_GB2312"/>
          <w:color w:val="000000"/>
          <w:sz w:val="32"/>
        </w:rPr>
        <w:t>辅助服务市场交易规则（</w:t>
      </w:r>
      <w:r>
        <w:rPr>
          <w:rFonts w:ascii="Times New Roman" w:hAnsi="Times New Roman" w:eastAsia="Times New Roman"/>
          <w:color w:val="000000"/>
          <w:sz w:val="32"/>
        </w:rPr>
        <w:t>2023</w:t>
      </w:r>
      <w:r>
        <w:rPr>
          <w:rFonts w:ascii="8Nm6mGed+FangSong_GB2312" w:hAnsi="8Nm6mGed+FangSong_GB2312" w:eastAsia="8Nm6mGed+FangSong_GB2312"/>
          <w:color w:val="000000"/>
          <w:sz w:val="32"/>
        </w:rPr>
        <w:t>版）》《华中电力调峰辅助服务市</w:t>
      </w:r>
      <w:r>
        <w:rPr>
          <w:rFonts w:ascii="8Nm6mGed+FangSong_GB2312" w:hAnsi="8Nm6mGed+FangSong_GB2312" w:eastAsia="8Nm6mGed+FangSong_GB2312"/>
          <w:color w:val="000000"/>
          <w:sz w:val="32"/>
        </w:rPr>
        <w:t>场省间调峰辅助服务湖南电网售出电量分摊细则》相关条款进行</w:t>
      </w:r>
      <w:r>
        <w:rPr>
          <w:rFonts w:ascii="8Nm6mGed+FangSong_GB2312" w:hAnsi="8Nm6mGed+FangSong_GB2312" w:eastAsia="8Nm6mGed+FangSong_GB2312"/>
          <w:color w:val="000000"/>
          <w:sz w:val="32"/>
        </w:rPr>
        <w:t>修改，详见附件</w:t>
      </w:r>
      <w:r>
        <w:rPr>
          <w:rFonts w:ascii="Times New Roman" w:hAnsi="Times New Roman" w:eastAsia="Times New Roman"/>
          <w:color w:val="000000"/>
          <w:sz w:val="32"/>
        </w:rPr>
        <w:t>1</w:t>
      </w:r>
      <w:r>
        <w:rPr>
          <w:rFonts w:ascii="8Nm6mGed+FangSong_GB2312" w:hAnsi="8Nm6mGed+FangSong_GB2312" w:eastAsia="8Nm6mGed+FangSong_GB2312"/>
          <w:color w:val="000000"/>
          <w:sz w:val="32"/>
        </w:rPr>
        <w:t>、附件</w:t>
      </w:r>
      <w:r>
        <w:rPr>
          <w:rFonts w:ascii="Times New Roman" w:hAnsi="Times New Roman" w:eastAsia="Times New Roman"/>
          <w:color w:val="000000"/>
          <w:sz w:val="32"/>
        </w:rPr>
        <w:t>2</w:t>
      </w:r>
      <w:r>
        <w:rPr>
          <w:rFonts w:ascii="8Nm6mGed+FangSong_GB2312" w:hAnsi="8Nm6mGed+FangSong_GB2312" w:eastAsia="8Nm6mGed+FangSong_GB2312"/>
          <w:color w:val="000000"/>
          <w:sz w:val="32"/>
        </w:rPr>
        <w:t>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tabs>
          <w:tab w:pos="790" w:val="left"/>
        </w:tabs>
        <w:autoSpaceDE w:val="0"/>
        <w:widowControl/>
        <w:spacing w:line="600" w:lineRule="exact" w:before="0" w:after="0"/>
        <w:ind w:left="150" w:right="0" w:firstLine="0"/>
        <w:jc w:val="left"/>
      </w:pP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此前有关规定与本通知不一致的，按本通知执行。电网企业、</w:t>
      </w:r>
      <w:r>
        <w:rPr>
          <w:rFonts w:ascii="8Nm6mGed+FangSong_GB2312" w:hAnsi="8Nm6mGed+FangSong_GB2312" w:eastAsia="8Nm6mGed+FangSong_GB2312"/>
          <w:color w:val="000000"/>
          <w:sz w:val="32"/>
        </w:rPr>
        <w:t>市场运营机构及各经营主体在执行中如遇有问题及时报告。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66" w:lineRule="exact" w:before="834" w:after="0"/>
        <w:ind w:left="788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附件：</w:t>
      </w:r>
      <w:r>
        <w:rPr>
          <w:rFonts w:ascii="Times New Roman" w:hAnsi="Times New Roman" w:eastAsia="Times New Roman"/>
          <w:color w:val="000000"/>
          <w:sz w:val="32"/>
        </w:rPr>
        <w:t>1.</w:t>
      </w:r>
      <w:r>
        <w:rPr>
          <w:rFonts w:ascii="8Nm6mGed+FangSong_GB2312" w:hAnsi="8Nm6mGed+FangSong_GB2312" w:eastAsia="8Nm6mGed+FangSong_GB2312"/>
          <w:color w:val="000000"/>
          <w:sz w:val="32"/>
        </w:rPr>
        <w:t>《湖南省电力辅助服务市场交易规则（</w:t>
      </w:r>
      <w:r>
        <w:rPr>
          <w:rFonts w:ascii="Times New Roman" w:hAnsi="Times New Roman" w:eastAsia="Times New Roman"/>
          <w:color w:val="000000"/>
          <w:sz w:val="32"/>
        </w:rPr>
        <w:t>2023</w:t>
      </w:r>
      <w:r>
        <w:rPr>
          <w:rFonts w:ascii="8Nm6mGed+FangSong_GB2312" w:hAnsi="8Nm6mGed+FangSong_GB2312" w:eastAsia="8Nm6mGed+FangSong_GB2312"/>
          <w:color w:val="000000"/>
          <w:sz w:val="32"/>
        </w:rPr>
        <w:t>版）》</w:t>
      </w:r>
    </w:p>
    <w:p>
      <w:pPr>
        <w:autoSpaceDN w:val="0"/>
        <w:tabs>
          <w:tab w:pos="1906" w:val="left"/>
          <w:tab w:pos="2066" w:val="left"/>
        </w:tabs>
        <w:autoSpaceDE w:val="0"/>
        <w:widowControl/>
        <w:spacing w:line="606" w:lineRule="exact" w:before="0" w:after="0"/>
        <w:ind w:left="1588" w:right="288" w:firstLine="0"/>
        <w:jc w:val="left"/>
      </w:pP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修改条款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rPr>
          <w:rFonts w:ascii="Times New Roman" w:hAnsi="Times New Roman" w:eastAsia="Times New Roman"/>
          <w:color w:val="000000"/>
          <w:sz w:val="32"/>
        </w:rPr>
        <w:t xml:space="preserve"> 2.</w:t>
      </w:r>
      <w:r>
        <w:rPr>
          <w:rFonts w:ascii="8Nm6mGed+FangSong_GB2312" w:hAnsi="8Nm6mGed+FangSong_GB2312" w:eastAsia="8Nm6mGed+FangSong_GB2312"/>
          <w:color w:val="000000"/>
          <w:sz w:val="32"/>
        </w:rPr>
        <w:t>《华中电力调峰辅助服务市场省间调峰辅助服务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tab/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湖南电网售出电量分摊细则》（修订版）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68" w:lineRule="exact" w:before="1416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国家能源局湖南监管办公室</w:t>
      </w:r>
      <w:r>
        <w:rPr>
          <w:rFonts w:ascii="Times New Roman" w:hAnsi="Times New Roman" w:eastAsia="Times New Roman"/>
          <w:color w:val="000000"/>
          <w:sz w:val="32"/>
        </w:rPr>
        <w:t xml:space="preserve">       </w:t>
      </w:r>
      <w:r>
        <w:rPr>
          <w:rFonts w:ascii="8Nm6mGed+FangSong_GB2312" w:hAnsi="8Nm6mGed+FangSong_GB2312" w:eastAsia="8Nm6mGed+FangSong_GB2312"/>
          <w:color w:val="000000"/>
          <w:sz w:val="32"/>
        </w:rPr>
        <w:t>湖南省发展和改革委员会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426" w:lineRule="exact" w:before="1990" w:after="0"/>
        <w:ind w:left="5954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湖南省能源局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426" w:lineRule="exact" w:before="174" w:after="0"/>
        <w:ind w:left="5552" w:right="0" w:firstLine="0"/>
        <w:jc w:val="left"/>
      </w:pPr>
      <w:r>
        <w:rPr>
          <w:rFonts w:ascii="Times New Roman" w:hAnsi="Times New Roman" w:eastAsia="Times New Roman"/>
          <w:color w:val="000000"/>
          <w:sz w:val="32"/>
        </w:rPr>
        <w:t>2025</w:t>
      </w:r>
      <w:r>
        <w:rPr>
          <w:rFonts w:ascii="8Nm6mGed+FangSong_GB2312" w:hAnsi="8Nm6mGed+FangSong_GB2312" w:eastAsia="8Nm6mGed+FangSong_GB2312"/>
          <w:color w:val="000000"/>
          <w:sz w:val="32"/>
        </w:rPr>
        <w:t>年</w:t>
      </w:r>
      <w:r>
        <w:rPr>
          <w:rFonts w:ascii="Times New Roman" w:hAnsi="Times New Roman" w:eastAsia="Times New Roman"/>
          <w:color w:val="000000"/>
          <w:sz w:val="32"/>
        </w:rPr>
        <w:t>10</w:t>
      </w:r>
      <w:r>
        <w:rPr>
          <w:rFonts w:ascii="8Nm6mGed+FangSong_GB2312" w:hAnsi="8Nm6mGed+FangSong_GB2312" w:eastAsia="8Nm6mGed+FangSong_GB2312"/>
          <w:color w:val="000000"/>
          <w:sz w:val="32"/>
        </w:rPr>
        <w:t>月</w:t>
      </w:r>
      <w:r>
        <w:rPr>
          <w:rFonts w:ascii="Times New Roman" w:hAnsi="Times New Roman" w:eastAsia="Times New Roman"/>
          <w:color w:val="000000"/>
          <w:sz w:val="32"/>
        </w:rPr>
        <w:t>14</w:t>
      </w:r>
      <w:r>
        <w:rPr>
          <w:rFonts w:ascii="8Nm6mGed+FangSong_GB2312" w:hAnsi="8Nm6mGed+FangSong_GB2312" w:eastAsia="8Nm6mGed+FangSong_GB2312"/>
          <w:color w:val="000000"/>
          <w:sz w:val="32"/>
        </w:rPr>
        <w:t>日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86" w:lineRule="exact" w:before="2438" w:after="0"/>
        <w:ind w:left="8294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- 3 -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142" w:right="1294" w:bottom="624" w:left="1440" w:header="720" w:footer="720" w:gutter="0"/>
          <w:cols w:num="1" w:equalWidth="0" w:space="720">
            <w:col w:w="91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3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2453640</wp:posOffset>
            </wp:positionH>
            <wp:positionV relativeFrom="page">
              <wp:posOffset>2171700</wp:posOffset>
            </wp:positionV>
            <wp:extent cx="558800" cy="31931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3193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4108450</wp:posOffset>
            </wp:positionV>
            <wp:extent cx="396240" cy="29196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919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1212850</wp:posOffset>
            </wp:positionH>
            <wp:positionV relativeFrom="page">
              <wp:posOffset>6013450</wp:posOffset>
            </wp:positionV>
            <wp:extent cx="396240" cy="29196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2919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4" w:lineRule="exact" w:before="0" w:after="0"/>
        <w:ind w:left="150" w:right="0" w:firstLine="0"/>
        <w:jc w:val="left"/>
      </w:pPr>
      <w:r>
        <w:rPr>
          <w:rFonts w:ascii="NKjVWfXa+SimHei" w:hAnsi="NKjVWfXa+SimHei" w:eastAsia="NKjVWfXa+SimHei"/>
          <w:color w:val="000000"/>
          <w:sz w:val="32"/>
        </w:rPr>
        <w:t>附件</w:t>
      </w:r>
      <w:r>
        <w:rPr>
          <w:rFonts w:ascii="6HylSPFC+SimHei" w:hAnsi="6HylSPFC+SimHei" w:eastAsia="6HylSPFC+SimHei"/>
          <w:color w:val="000000"/>
          <w:sz w:val="32"/>
        </w:rPr>
        <w:t>1</w:t>
      </w:r>
      <w:r>
        <w:rPr>
          <w:rFonts w:ascii="NKjVWfXa+SimHei" w:hAnsi="NKjVWfXa+SimHei" w:eastAsia="NKjVWfXa+SimHei"/>
          <w:color w:val="000000"/>
          <w:sz w:val="32"/>
        </w:rPr>
        <w:t>：</w:t>
      </w:r>
      <w:r>
        <w:rPr>
          <w:rFonts w:ascii="Times New Roman" w:hAnsi="Times New Roman" w:eastAsia="Times New Roman"/>
          <w:color w:val="000000"/>
          <w:sz w:val="44"/>
        </w:rPr>
        <w:t xml:space="preserve"> </w:t>
      </w:r>
    </w:p>
    <w:p>
      <w:pPr>
        <w:autoSpaceDN w:val="0"/>
        <w:autoSpaceDE w:val="0"/>
        <w:widowControl/>
        <w:spacing w:line="240" w:lineRule="auto" w:before="198" w:after="0"/>
        <w:ind w:left="10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51070" cy="318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1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858" w:val="left"/>
        </w:tabs>
        <w:autoSpaceDE w:val="0"/>
        <w:widowControl/>
        <w:spacing w:line="240" w:lineRule="auto" w:before="74" w:after="0"/>
        <w:ind w:left="2864" w:right="0" w:firstLine="0"/>
        <w:jc w:val="left"/>
      </w:pPr>
      <w:r>
        <w:rPr>
          <w:rFonts w:ascii="Times New Roman" w:hAnsi="Times New Roman" w:eastAsia="Times New Roman"/>
          <w:color w:val="000000"/>
          <w:sz w:val="44"/>
        </w:rPr>
        <w:t>2023</w:t>
      </w:r>
      <w:r>
        <w:tab/>
      </w:r>
      <w:r>
        <w:drawing>
          <wp:inline xmlns:a="http://schemas.openxmlformats.org/drawingml/2006/main" xmlns:pic="http://schemas.openxmlformats.org/drawingml/2006/picture">
            <wp:extent cx="2073910" cy="3187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318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806" w:after="0"/>
        <w:ind w:left="792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一、原规则第十六条修改为“深度调峰交易是指在系统负备</w:t>
      </w:r>
    </w:p>
    <w:p>
      <w:pPr>
        <w:autoSpaceDN w:val="0"/>
        <w:tabs>
          <w:tab w:pos="790" w:val="left"/>
          <w:tab w:pos="792" w:val="left"/>
        </w:tabs>
        <w:autoSpaceDE w:val="0"/>
        <w:widowControl/>
        <w:spacing w:line="600" w:lineRule="exact" w:before="2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用不足或者可再生能源消纳困难的情况下，以火电机组降低出力</w:t>
      </w:r>
      <w:r>
        <w:rPr>
          <w:rFonts w:ascii="8Nm6mGed+FangSong_GB2312" w:hAnsi="8Nm6mGed+FangSong_GB2312" w:eastAsia="8Nm6mGed+FangSong_GB2312"/>
          <w:color w:val="000000"/>
          <w:sz w:val="32"/>
        </w:rPr>
        <w:t>至有偿调峰基准值以下的调峰服务、储能电站的充电服务和负荷</w:t>
      </w:r>
      <w:r>
        <w:rPr>
          <w:rFonts w:ascii="8Nm6mGed+FangSong_GB2312" w:hAnsi="8Nm6mGed+FangSong_GB2312" w:eastAsia="8Nm6mGed+FangSong_GB2312"/>
          <w:color w:val="000000"/>
          <w:sz w:val="32"/>
        </w:rPr>
        <w:t>侧</w:t>
      </w:r>
      <w:r>
        <w:rPr>
          <w:rFonts w:ascii="Zkw0EGab+FZFangSong" w:hAnsi="Zkw0EGab+FZFangSong" w:eastAsia="Zkw0EGab+FZFangSong"/>
          <w:color w:val="000000"/>
          <w:sz w:val="32"/>
        </w:rPr>
        <w:t>经营</w:t>
      </w:r>
      <w:r>
        <w:rPr>
          <w:rFonts w:ascii="8Nm6mGed+FangSong_GB2312" w:hAnsi="8Nm6mGed+FangSong_GB2312" w:eastAsia="8Nm6mGed+FangSong_GB2312"/>
          <w:color w:val="000000"/>
          <w:sz w:val="32"/>
        </w:rPr>
        <w:t>主体增加用电负荷至基线负荷之上的服务等为交易标的，</w:t>
      </w:r>
      <w:r>
        <w:rPr>
          <w:rFonts w:ascii="8Nm6mGed+FangSong_GB2312" w:hAnsi="8Nm6mGed+FangSong_GB2312" w:eastAsia="8Nm6mGed+FangSong_GB2312"/>
          <w:color w:val="000000"/>
          <w:sz w:val="32"/>
        </w:rPr>
        <w:t>提高系统负备用水平或者可再生能源消纳能力的交易。”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二、原规则第十七条第（一）款修改为“符合准入条件的统</w:t>
      </w:r>
      <w:r>
        <w:rPr>
          <w:rFonts w:ascii="8Nm6mGed+FangSong_GB2312" w:hAnsi="8Nm6mGed+FangSong_GB2312" w:eastAsia="8Nm6mGed+FangSong_GB2312"/>
          <w:color w:val="000000"/>
          <w:sz w:val="32"/>
        </w:rPr>
        <w:t>调公用火电机组（单机容量</w:t>
      </w:r>
      <w:r>
        <w:rPr>
          <w:rFonts w:ascii="Times New Roman" w:hAnsi="Times New Roman" w:eastAsia="Times New Roman"/>
          <w:color w:val="000000"/>
          <w:sz w:val="32"/>
        </w:rPr>
        <w:t>20</w:t>
      </w:r>
      <w:r>
        <w:rPr>
          <w:rFonts w:ascii="8Nm6mGed+FangSong_GB2312" w:hAnsi="8Nm6mGed+FangSong_GB2312" w:eastAsia="8Nm6mGed+FangSong_GB2312"/>
          <w:color w:val="000000"/>
          <w:sz w:val="32"/>
        </w:rPr>
        <w:t>兆瓦及以上的燃煤机组、生物质</w:t>
      </w:r>
      <w:r>
        <w:rPr>
          <w:rFonts w:ascii="8Nm6mGed+FangSong_GB2312" w:hAnsi="8Nm6mGed+FangSong_GB2312" w:eastAsia="8Nm6mGed+FangSong_GB2312"/>
          <w:color w:val="000000"/>
          <w:sz w:val="32"/>
        </w:rPr>
        <w:t>机组）、储能电站和负荷侧经营主体。自备电厂所属企业以负荷</w:t>
      </w:r>
      <w:r>
        <w:rPr>
          <w:rFonts w:ascii="8Nm6mGed+FangSong_GB2312" w:hAnsi="8Nm6mGed+FangSong_GB2312" w:eastAsia="8Nm6mGed+FangSong_GB2312"/>
          <w:color w:val="000000"/>
          <w:sz w:val="32"/>
        </w:rPr>
        <w:t>侧</w:t>
      </w:r>
      <w:r>
        <w:rPr>
          <w:rFonts w:ascii="Zkw0EGab+FZFangSong" w:hAnsi="Zkw0EGab+FZFangSong" w:eastAsia="Zkw0EGab+FZFangSong"/>
          <w:color w:val="000000"/>
          <w:sz w:val="32"/>
        </w:rPr>
        <w:t>经营</w:t>
      </w:r>
      <w:r>
        <w:rPr>
          <w:rFonts w:ascii="8Nm6mGed+FangSong_GB2312" w:hAnsi="8Nm6mGed+FangSong_GB2312" w:eastAsia="8Nm6mGed+FangSong_GB2312"/>
          <w:color w:val="000000"/>
          <w:sz w:val="32"/>
        </w:rPr>
        <w:t>主体形式参与深度调峰交易。”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三、原规则第二十一条第（二）款删除，第（三）款修改为</w:t>
      </w:r>
      <w:r>
        <w:rPr>
          <w:rFonts w:ascii="8Nm6mGed+FangSong_GB2312" w:hAnsi="8Nm6mGed+FangSong_GB2312" w:eastAsia="8Nm6mGed+FangSong_GB2312"/>
          <w:color w:val="000000"/>
          <w:sz w:val="32"/>
        </w:rPr>
        <w:t>“储能电站按充电电量报价。申报次日低谷、腰荷时段可提供调</w:t>
      </w:r>
      <w:r>
        <w:rPr>
          <w:rFonts w:ascii="8Nm6mGed+FangSong_GB2312" w:hAnsi="8Nm6mGed+FangSong_GB2312" w:eastAsia="8Nm6mGed+FangSong_GB2312"/>
          <w:color w:val="000000"/>
          <w:sz w:val="32"/>
        </w:rPr>
        <w:t>峰辅助服务的能力，调节速率，最大可连续充电时间，调峰辅助</w:t>
      </w:r>
      <w:r>
        <w:rPr>
          <w:rFonts w:ascii="8Nm6mGed+FangSong_GB2312" w:hAnsi="8Nm6mGed+FangSong_GB2312" w:eastAsia="8Nm6mGed+FangSong_GB2312"/>
          <w:color w:val="000000"/>
          <w:sz w:val="32"/>
        </w:rPr>
        <w:t>服务价格等。如未报价，其申报价格视为</w:t>
      </w:r>
      <w:r>
        <w:rPr>
          <w:rFonts w:ascii="Times New Roman" w:hAnsi="Times New Roman" w:eastAsia="Times New Roman"/>
          <w:color w:val="000000"/>
          <w:sz w:val="32"/>
        </w:rPr>
        <w:t>0</w:t>
      </w:r>
      <w:r>
        <w:rPr>
          <w:rFonts w:ascii="8Nm6mGed+FangSong_GB2312" w:hAnsi="8Nm6mGed+FangSong_GB2312" w:eastAsia="8Nm6mGed+FangSong_GB2312"/>
          <w:color w:val="000000"/>
          <w:sz w:val="32"/>
        </w:rPr>
        <w:t>。”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四、原规则第二十三条修改为：“火电机组、储能的报价排</w:t>
      </w:r>
      <w:r>
        <w:rPr>
          <w:rFonts w:ascii="8Nm6mGed+FangSong_GB2312" w:hAnsi="8Nm6mGed+FangSong_GB2312" w:eastAsia="8Nm6mGed+FangSong_GB2312"/>
          <w:color w:val="000000"/>
          <w:sz w:val="32"/>
        </w:rPr>
        <w:t>序和调用排序原则：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（一）报价排序。按照卖方报价从低到高排序；当火电机组、</w:t>
      </w:r>
    </w:p>
    <w:p>
      <w:pPr>
        <w:autoSpaceDN w:val="0"/>
        <w:autoSpaceDE w:val="0"/>
        <w:widowControl/>
        <w:spacing w:line="318" w:lineRule="exact" w:before="282" w:after="0"/>
        <w:ind w:left="0" w:right="0" w:firstLine="0"/>
        <w:jc w:val="center"/>
      </w:pPr>
      <w:r>
        <w:rPr>
          <w:rFonts w:ascii="8Nm6mGed+FangSong_GB2312" w:hAnsi="8Nm6mGed+FangSong_GB2312" w:eastAsia="8Nm6mGed+FangSong_GB2312"/>
          <w:color w:val="000000"/>
          <w:sz w:val="32"/>
        </w:rPr>
        <w:t>储能电站等不同类别卖方报价相同时，或同类别卖方报价相同</w:t>
      </w:r>
    </w:p>
    <w:p>
      <w:pPr>
        <w:autoSpaceDN w:val="0"/>
        <w:autoSpaceDE w:val="0"/>
        <w:widowControl/>
        <w:spacing w:line="286" w:lineRule="exact" w:before="658" w:after="0"/>
        <w:ind w:left="150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- 4 -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060" w:right="1294" w:bottom="624" w:left="1440" w:header="720" w:footer="720" w:gutter="0"/>
          <w:cols w:num="1" w:equalWidth="0" w:space="720">
            <w:col w:w="91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922" w:after="0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时，按照申报时间先后排序。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18" w:lineRule="exact" w:before="254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（二）调用排序。经调控中心安全校核后，形成调用排序。</w:t>
      </w:r>
    </w:p>
    <w:p>
      <w:pPr>
        <w:autoSpaceDN w:val="0"/>
        <w:autoSpaceDE w:val="0"/>
        <w:widowControl/>
        <w:spacing w:line="614" w:lineRule="exact" w:before="0" w:after="0"/>
        <w:ind w:left="150" w:right="288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调控中心根据电网深度调峰需求按序调用。深度调峰需求减少</w:t>
      </w:r>
      <w:r>
        <w:rPr>
          <w:rFonts w:ascii="8Nm6mGed+FangSong_GB2312" w:hAnsi="8Nm6mGed+FangSong_GB2312" w:eastAsia="8Nm6mGed+FangSong_GB2312"/>
          <w:color w:val="000000"/>
          <w:sz w:val="32"/>
        </w:rPr>
        <w:t>时，按反序减少或停止调用。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18" w:lineRule="exact" w:before="254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（三）确因电网运行需要，调控中心可根据负荷预测、调峰</w:t>
      </w:r>
    </w:p>
    <w:p>
      <w:pPr>
        <w:autoSpaceDN w:val="0"/>
        <w:tabs>
          <w:tab w:pos="792" w:val="left"/>
        </w:tabs>
        <w:autoSpaceDE w:val="0"/>
        <w:widowControl/>
        <w:spacing w:line="600" w:lineRule="exact" w:before="2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需求、电网安全稳定运行要求及储能电站充放电能力等情况，调</w:t>
      </w:r>
      <w:r>
        <w:rPr>
          <w:rFonts w:ascii="8Nm6mGed+FangSong_GB2312" w:hAnsi="8Nm6mGed+FangSong_GB2312" w:eastAsia="8Nm6mGed+FangSong_GB2312"/>
          <w:color w:val="000000"/>
          <w:sz w:val="32"/>
        </w:rPr>
        <w:t>整储能电站调用时间，但应做好相关记录，说明调整原因。”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五、原规则第三十二条修改为：“深度调峰服务费为调用主</w:t>
      </w:r>
    </w:p>
    <w:p>
      <w:pPr>
        <w:autoSpaceDN w:val="0"/>
        <w:tabs>
          <w:tab w:pos="790" w:val="left"/>
        </w:tabs>
        <w:autoSpaceDE w:val="0"/>
        <w:widowControl/>
        <w:spacing w:line="604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体深度调峰电量与中标价格乘积的总额。为有效调控深度调峰服</w:t>
      </w:r>
      <w:r>
        <w:rPr>
          <w:rFonts w:ascii="8Nm6mGed+FangSong_GB2312" w:hAnsi="8Nm6mGed+FangSong_GB2312" w:eastAsia="8Nm6mGed+FangSong_GB2312"/>
          <w:color w:val="000000"/>
          <w:sz w:val="32"/>
        </w:rPr>
        <w:t>务总费用，设臵深度调峰调节系数</w:t>
      </w:r>
      <w:r>
        <w:rPr>
          <w:rFonts w:ascii="Times New Roman" w:hAnsi="Times New Roman" w:eastAsia="Times New Roman"/>
          <w:color w:val="000000"/>
          <w:sz w:val="32"/>
        </w:rPr>
        <w:t>K</w:t>
      </w:r>
      <w:r>
        <w:rPr>
          <w:rFonts w:ascii="8Nm6mGed+FangSong_GB2312" w:hAnsi="8Nm6mGed+FangSong_GB2312" w:eastAsia="8Nm6mGed+FangSong_GB2312"/>
          <w:color w:val="000000"/>
          <w:sz w:val="32"/>
        </w:rPr>
        <w:t>，取值范围</w:t>
      </w:r>
      <w:r>
        <w:rPr>
          <w:rFonts w:ascii="Times New Roman" w:hAnsi="Times New Roman" w:eastAsia="Times New Roman"/>
          <w:color w:val="000000"/>
          <w:sz w:val="32"/>
        </w:rPr>
        <w:t>0-2</w:t>
      </w:r>
      <w:r>
        <w:rPr>
          <w:rFonts w:ascii="8Nm6mGed+FangSong_GB2312" w:hAnsi="8Nm6mGed+FangSong_GB2312" w:eastAsia="8Nm6mGed+FangSong_GB2312"/>
          <w:color w:val="000000"/>
          <w:sz w:val="32"/>
        </w:rPr>
        <w:t>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深度调峰服务费总额</w:t>
      </w:r>
      <w:r>
        <w:rPr>
          <w:rFonts w:ascii="Times New Roman" w:hAnsi="Times New Roman" w:eastAsia="Times New Roman"/>
          <w:color w:val="000000"/>
          <w:sz w:val="32"/>
        </w:rPr>
        <w:t>=</w:t>
      </w:r>
      <w:r>
        <w:rPr>
          <w:rFonts w:ascii="8Nm6mGed+FangSong_GB2312" w:hAnsi="8Nm6mGed+FangSong_GB2312" w:eastAsia="8Nm6mGed+FangSong_GB2312"/>
          <w:color w:val="000000"/>
          <w:sz w:val="32"/>
        </w:rPr>
        <w:t>火电机组深度调峰服务费</w:t>
      </w:r>
      <w:r>
        <w:rPr>
          <w:rFonts w:ascii="Times New Roman" w:hAnsi="Times New Roman" w:eastAsia="Times New Roman"/>
          <w:color w:val="000000"/>
          <w:sz w:val="32"/>
        </w:rPr>
        <w:t>+</w:t>
      </w:r>
      <w:r>
        <w:rPr>
          <w:rFonts w:ascii="8Nm6mGed+FangSong_GB2312" w:hAnsi="8Nm6mGed+FangSong_GB2312" w:eastAsia="8Nm6mGed+FangSong_GB2312"/>
          <w:color w:val="000000"/>
          <w:sz w:val="32"/>
        </w:rPr>
        <w:t>储能电站</w:t>
      </w:r>
      <w:r>
        <w:rPr>
          <w:rFonts w:ascii="8Nm6mGed+FangSong_GB2312" w:hAnsi="8Nm6mGed+FangSong_GB2312" w:eastAsia="8Nm6mGed+FangSong_GB2312"/>
          <w:color w:val="000000"/>
          <w:sz w:val="32"/>
        </w:rPr>
        <w:t>深度调峰服务费</w:t>
      </w:r>
      <w:r>
        <w:rPr>
          <w:rFonts w:ascii="Times New Roman" w:hAnsi="Times New Roman" w:eastAsia="Times New Roman"/>
          <w:color w:val="000000"/>
          <w:sz w:val="32"/>
        </w:rPr>
        <w:t>+</w:t>
      </w:r>
      <w:r>
        <w:rPr>
          <w:rFonts w:ascii="8Nm6mGed+FangSong_GB2312" w:hAnsi="8Nm6mGed+FangSong_GB2312" w:eastAsia="8Nm6mGed+FangSong_GB2312"/>
          <w:color w:val="000000"/>
          <w:sz w:val="32"/>
        </w:rPr>
        <w:t>负荷侧经营主体深度调峰服务费：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（一）火电机组深度调峰服务费＝</w:t>
      </w:r>
      <w:r>
        <w:rPr>
          <w:rFonts w:ascii="J1gl3iHt+Times New Roman" w:hAnsi="J1gl3iHt+Times New Roman" w:eastAsia="J1gl3iHt+Times New Roman"/>
          <w:color w:val="000000"/>
          <w:sz w:val="32"/>
        </w:rPr>
        <w:t>K∑</w:t>
      </w:r>
      <w:r>
        <w:rPr>
          <w:rFonts w:ascii="8Nm6mGed+FangSong_GB2312" w:hAnsi="8Nm6mGed+FangSong_GB2312" w:eastAsia="8Nm6mGed+FangSong_GB2312"/>
          <w:color w:val="000000"/>
          <w:sz w:val="32"/>
        </w:rPr>
        <w:t>（交易时段机组深度</w:t>
      </w:r>
      <w:r>
        <w:rPr>
          <w:rFonts w:ascii="8Nm6mGed+FangSong_GB2312" w:hAnsi="8Nm6mGed+FangSong_GB2312" w:eastAsia="8Nm6mGed+FangSong_GB2312"/>
          <w:color w:val="000000"/>
          <w:sz w:val="32"/>
        </w:rPr>
        <w:t>调峰电量</w:t>
      </w:r>
      <w:r>
        <w:rPr>
          <w:rFonts w:ascii="Times New Roman" w:hAnsi="Times New Roman" w:eastAsia="Times New Roman"/>
          <w:color w:val="000000"/>
          <w:sz w:val="32"/>
        </w:rPr>
        <w:t>×</w:t>
      </w:r>
      <w:r>
        <w:rPr>
          <w:rFonts w:ascii="8Nm6mGed+FangSong_GB2312" w:hAnsi="8Nm6mGed+FangSong_GB2312" w:eastAsia="8Nm6mGed+FangSong_GB2312"/>
          <w:color w:val="000000"/>
          <w:sz w:val="32"/>
        </w:rPr>
        <w:t>中标价格）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其中，火电机组深度调峰电量为火电机组按调度指令深度调</w:t>
      </w:r>
      <w:r>
        <w:rPr>
          <w:rFonts w:ascii="8Nm6mGed+FangSong_GB2312" w:hAnsi="8Nm6mGed+FangSong_GB2312" w:eastAsia="8Nm6mGed+FangSong_GB2312"/>
          <w:color w:val="000000"/>
          <w:sz w:val="32"/>
        </w:rPr>
        <w:t>峰的减发电量。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tabs>
          <w:tab w:pos="790" w:val="left"/>
        </w:tabs>
        <w:autoSpaceDE w:val="0"/>
        <w:widowControl/>
        <w:spacing w:line="600" w:lineRule="exact" w:before="0" w:after="0"/>
        <w:ind w:left="150" w:right="0" w:firstLine="0"/>
        <w:jc w:val="left"/>
      </w:pP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（二）储能电站深度调峰服务费＝</w:t>
      </w:r>
      <w:r>
        <w:rPr>
          <w:rFonts w:ascii="J1gl3iHt+Times New Roman" w:hAnsi="J1gl3iHt+Times New Roman" w:eastAsia="J1gl3iHt+Times New Roman"/>
          <w:color w:val="000000"/>
          <w:sz w:val="32"/>
        </w:rPr>
        <w:t>K∑</w:t>
      </w:r>
      <w:r>
        <w:rPr>
          <w:rFonts w:ascii="8Nm6mGed+FangSong_GB2312" w:hAnsi="8Nm6mGed+FangSong_GB2312" w:eastAsia="8Nm6mGed+FangSong_GB2312"/>
          <w:color w:val="000000"/>
          <w:sz w:val="32"/>
        </w:rPr>
        <w:t>（交易时段储能电站</w:t>
      </w:r>
      <w:r>
        <w:rPr>
          <w:rFonts w:ascii="8Nm6mGed+FangSong_GB2312" w:hAnsi="8Nm6mGed+FangSong_GB2312" w:eastAsia="8Nm6mGed+FangSong_GB2312"/>
          <w:color w:val="000000"/>
          <w:sz w:val="32"/>
        </w:rPr>
        <w:t>深度调峰电量</w:t>
      </w:r>
      <w:r>
        <w:rPr>
          <w:rFonts w:ascii="Times New Roman" w:hAnsi="Times New Roman" w:eastAsia="Times New Roman"/>
          <w:color w:val="000000"/>
          <w:sz w:val="32"/>
        </w:rPr>
        <w:t>×</w:t>
      </w:r>
      <w:r>
        <w:rPr>
          <w:rFonts w:ascii="8Nm6mGed+FangSong_GB2312" w:hAnsi="8Nm6mGed+FangSong_GB2312" w:eastAsia="8Nm6mGed+FangSong_GB2312"/>
          <w:color w:val="000000"/>
          <w:sz w:val="32"/>
        </w:rPr>
        <w:t>中标价格）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其中，储能电站深度调峰电量为储能电站按调度指令充电的</w:t>
      </w:r>
      <w:r>
        <w:rPr>
          <w:rFonts w:ascii="8Nm6mGed+FangSong_GB2312" w:hAnsi="8Nm6mGed+FangSong_GB2312" w:eastAsia="8Nm6mGed+FangSong_GB2312"/>
          <w:color w:val="000000"/>
          <w:sz w:val="32"/>
        </w:rPr>
        <w:t>充电电量。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52" w:lineRule="exact" w:before="244" w:after="0"/>
        <w:ind w:left="79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（三）负荷侧经营主体深度调峰服务费</w:t>
      </w:r>
      <w:r>
        <w:rPr>
          <w:rFonts w:ascii="J1gl3iHt+Times New Roman" w:hAnsi="J1gl3iHt+Times New Roman" w:eastAsia="J1gl3iHt+Times New Roman"/>
          <w:color w:val="000000"/>
          <w:sz w:val="32"/>
        </w:rPr>
        <w:t>=∑</w:t>
      </w:r>
      <w:r>
        <w:rPr>
          <w:rFonts w:ascii="8Nm6mGed+FangSong_GB2312" w:hAnsi="8Nm6mGed+FangSong_GB2312" w:eastAsia="8Nm6mGed+FangSong_GB2312"/>
          <w:color w:val="000000"/>
          <w:sz w:val="32"/>
        </w:rPr>
        <w:t>（交易时段负荷</w:t>
      </w:r>
    </w:p>
    <w:p>
      <w:pPr>
        <w:autoSpaceDN w:val="0"/>
        <w:autoSpaceDE w:val="0"/>
        <w:widowControl/>
        <w:spacing w:line="286" w:lineRule="exact" w:before="658" w:after="0"/>
        <w:ind w:left="8294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- 5 -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142" w:right="1340" w:bottom="624" w:left="1440" w:header="720" w:footer="720" w:gutter="0"/>
          <w:cols w:num="1" w:equalWidth="0" w:space="720">
            <w:col w:w="91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922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6696709</wp:posOffset>
            </wp:positionH>
            <wp:positionV relativeFrom="page">
              <wp:posOffset>4734560</wp:posOffset>
            </wp:positionV>
            <wp:extent cx="5080" cy="103293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032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6696709</wp:posOffset>
            </wp:positionH>
            <wp:positionV relativeFrom="page">
              <wp:posOffset>5253990</wp:posOffset>
            </wp:positionV>
            <wp:extent cx="5080" cy="10329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032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4734560</wp:posOffset>
            </wp:positionV>
            <wp:extent cx="5080" cy="15494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54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5253990</wp:posOffset>
            </wp:positionV>
            <wp:extent cx="5080" cy="1549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54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6696709</wp:posOffset>
            </wp:positionH>
            <wp:positionV relativeFrom="page">
              <wp:posOffset>4994910</wp:posOffset>
            </wp:positionV>
            <wp:extent cx="5080" cy="10329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032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4994910</wp:posOffset>
            </wp:positionV>
            <wp:extent cx="5080" cy="1549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54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90" w:val="left"/>
        </w:tabs>
        <w:autoSpaceDE w:val="0"/>
        <w:widowControl/>
        <w:spacing w:line="468" w:lineRule="exact" w:before="0" w:after="0"/>
        <w:ind w:left="150" w:right="144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侧经营主体深度调峰电量</w:t>
      </w:r>
      <w:r>
        <w:rPr>
          <w:rFonts w:ascii="Times New Roman" w:hAnsi="Times New Roman" w:eastAsia="Times New Roman"/>
          <w:color w:val="000000"/>
          <w:sz w:val="32"/>
        </w:rPr>
        <w:t>×</w:t>
      </w:r>
      <w:r>
        <w:rPr>
          <w:rFonts w:ascii="8Nm6mGed+FangSong_GB2312" w:hAnsi="8Nm6mGed+FangSong_GB2312" w:eastAsia="8Nm6mGed+FangSong_GB2312"/>
          <w:color w:val="000000"/>
          <w:sz w:val="32"/>
        </w:rPr>
        <w:t>边际出清价格）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其中，负荷侧经营主体深度调峰电量为负荷侧经营主体按调</w:t>
      </w:r>
    </w:p>
    <w:p>
      <w:pPr>
        <w:autoSpaceDN w:val="0"/>
        <w:tabs>
          <w:tab w:pos="792" w:val="left"/>
          <w:tab w:pos="876" w:val="left"/>
        </w:tabs>
        <w:autoSpaceDE w:val="0"/>
        <w:widowControl/>
        <w:spacing w:line="610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度指令在基线负荷之上增加用电量与其市场出清电量之间的较</w:t>
      </w:r>
      <w:r>
        <w:rPr>
          <w:rFonts w:ascii="8Nm6mGed+FangSong_GB2312" w:hAnsi="8Nm6mGed+FangSong_GB2312" w:eastAsia="8Nm6mGed+FangSong_GB2312"/>
          <w:color w:val="000000"/>
          <w:sz w:val="32"/>
        </w:rPr>
        <w:t>小值。”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8Nm6mGed+FangSong_GB2312" w:hAnsi="8Nm6mGed+FangSong_GB2312" w:eastAsia="8Nm6mGed+FangSong_GB2312"/>
          <w:b/>
          <w:color w:val="000000"/>
          <w:sz w:val="32"/>
        </w:rPr>
        <w:t>六、原规则附件</w:t>
      </w:r>
      <w:r>
        <w:rPr>
          <w:rFonts w:ascii="Times New Roman,Bold" w:hAnsi="Times New Roman,Bold" w:eastAsia="Times New Roman,Bold"/>
          <w:b/>
          <w:color w:val="000000"/>
          <w:sz w:val="32"/>
        </w:rPr>
        <w:t>3</w:t>
      </w:r>
      <w:r>
        <w:rPr>
          <w:rFonts w:ascii="8Nm6mGed+FangSong_GB2312" w:hAnsi="8Nm6mGed+FangSong_GB2312" w:eastAsia="8Nm6mGed+FangSong_GB2312"/>
          <w:color w:val="000000"/>
          <w:sz w:val="32"/>
        </w:rPr>
        <w:t>中各经营主体深度调峰报价限额修改为：</w:t>
      </w:r>
      <w:r>
        <w:rPr>
          <w:rFonts w:ascii="6HylSPFC+SimHei" w:hAnsi="6HylSPFC+SimHei" w:eastAsia="6HylSPFC+SimHei"/>
          <w:color w:val="000000"/>
          <w:sz w:val="32"/>
        </w:rPr>
        <w:t xml:space="preserve"> </w:t>
      </w:r>
      <w:r>
        <w:tab/>
      </w:r>
      <w:r>
        <w:rPr>
          <w:rFonts w:ascii="8Nm6mGed+FangSong_GB2312" w:hAnsi="8Nm6mGed+FangSong_GB2312" w:eastAsia="8Nm6mGed+FangSong_GB2312"/>
          <w:b/>
          <w:color w:val="000000"/>
          <w:sz w:val="32"/>
        </w:rPr>
        <w:t>火电、储能电站、负荷侧经营主体深度调峰报价限额</w:t>
      </w:r>
      <w:r>
        <w:rPr>
          <w:rFonts w:ascii="Times New Roman,Bold" w:hAnsi="Times New Roman,Bold" w:eastAsia="Times New Roman,Bold"/>
          <w:b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22" w:lineRule="exact" w:before="256" w:after="56"/>
        <w:ind w:left="6116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28"/>
        </w:rPr>
        <w:t>单位：元</w:t>
      </w:r>
      <w:r>
        <w:rPr>
          <w:rFonts w:ascii="Times New Roman" w:hAnsi="Times New Roman" w:eastAsia="Times New Roman"/>
          <w:color w:val="000000"/>
          <w:sz w:val="28"/>
        </w:rPr>
        <w:t>/</w:t>
      </w:r>
      <w:r>
        <w:rPr>
          <w:rFonts w:ascii="8Nm6mGed+FangSong_GB2312" w:hAnsi="8Nm6mGed+FangSong_GB2312" w:eastAsia="8Nm6mGed+FangSong_GB2312"/>
          <w:color w:val="000000"/>
          <w:sz w:val="28"/>
        </w:rPr>
        <w:t>兆瓦时；兆瓦</w:t>
      </w:r>
      <w:r>
        <w:rPr>
          <w:rFonts w:ascii="Times New Roman" w:hAnsi="Times New Roman" w:eastAsia="Times New Roman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1094"/>
        <w:gridCol w:w="1426"/>
        <w:gridCol w:w="2708"/>
        <w:gridCol w:w="2250"/>
        <w:gridCol w:w="1598"/>
      </w:tblGrid>
      <w:tr>
        <w:trPr>
          <w:trHeight w:hRule="exact" w:val="738"/>
        </w:trPr>
        <w:tc>
          <w:tcPr>
            <w:tcW w:type="dxa" w:w="1094"/>
            <w:tcBorders>
              <w:left w:sz="3.200000047683716" w:val="single" w:color="000000"/>
              <w:top w:sz="4.0" w:val="single" w:color="000000"/>
              <w:right w:sz="4.0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left w:sz="4.0" w:val="single" w:color="000000"/>
              <w:top w:sz="4.0" w:val="single" w:color="000000"/>
              <w:right w:sz="4.0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8"/>
            <w:tcBorders>
              <w:left w:sz="4.0" w:val="single" w:color="000000"/>
              <w:top w:sz="4.0" w:val="single" w:color="000000"/>
              <w:right w:sz="4.0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4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下调负荷率区间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250"/>
            <w:tcBorders>
              <w:left w:sz="4.0" w:val="single" w:color="000000"/>
              <w:top w:sz="4.0" w:val="single" w:color="000000"/>
              <w:right w:sz="4.0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04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申报价格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>P</w:t>
            </w: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限额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1598"/>
            <w:tcBorders>
              <w:left w:sz="4.0" w:val="single" w:color="000000"/>
              <w:top w:sz="4.0" w:val="single" w:color="000000"/>
              <w:right w:sz="3.200000047683716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最小可调</w:t>
            </w:r>
          </w:p>
          <w:p>
            <w:pPr>
              <w:autoSpaceDN w:val="0"/>
              <w:autoSpaceDE w:val="0"/>
              <w:widowControl/>
              <w:spacing w:line="366" w:lineRule="exact" w:before="32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出力</w:t>
            </w:r>
            <w:r>
              <w:rPr>
                <w:rFonts w:ascii="Times New Roman" w:hAnsi="Times New Roman" w:eastAsia="Times New Roman"/>
                <w:color w:val="000000"/>
                <w:sz w:val="32"/>
              </w:rPr>
              <w:t xml:space="preserve"> </w:t>
            </w:r>
          </w:p>
        </w:tc>
      </w:tr>
      <w:tr>
        <w:trPr>
          <w:trHeight w:hRule="exact" w:val="412"/>
        </w:trPr>
        <w:tc>
          <w:tcPr>
            <w:tcW w:type="dxa" w:w="1094"/>
            <w:vMerge w:val="restart"/>
            <w:tcBorders>
              <w:left w:sz="3.200000047683716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62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火电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22" w:lineRule="exact" w:before="76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报价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324" w:lineRule="exact" w:before="78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限额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1426"/>
            <w:tcBorders>
              <w:left w:sz="4.0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第一档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708"/>
            <w:tcBorders>
              <w:left w:sz="4.0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45%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负荷率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&lt;50% </w:t>
            </w:r>
          </w:p>
        </w:tc>
        <w:tc>
          <w:tcPr>
            <w:tcW w:type="dxa" w:w="2250"/>
            <w:tcBorders>
              <w:left w:sz="4.0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100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>P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200 </w:t>
            </w:r>
          </w:p>
        </w:tc>
        <w:tc>
          <w:tcPr>
            <w:tcW w:type="dxa" w:w="1598"/>
            <w:vMerge w:val="restart"/>
            <w:tcBorders>
              <w:left w:sz="4.0" w:val="single" w:color="000000"/>
              <w:top w:sz="3.200000047683716" w:val="single" w:color="000000"/>
              <w:right w:sz="3.200000047683716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835"/>
            <w:vMerge/>
            <w:tcBorders>
              <w:left w:sz="3.200000047683716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</w:tcPr>
          <w:p/>
        </w:tc>
        <w:tc>
          <w:tcPr>
            <w:tcW w:type="dxa" w:w="142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第二档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7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40%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负荷率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&lt;45% </w:t>
            </w:r>
          </w:p>
        </w:tc>
        <w:tc>
          <w:tcPr>
            <w:tcW w:type="dxa" w:w="22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100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>P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250 </w:t>
            </w:r>
          </w:p>
        </w:tc>
        <w:tc>
          <w:tcPr>
            <w:tcW w:type="dxa" w:w="1835"/>
            <w:vMerge/>
            <w:tcBorders>
              <w:left w:sz="4.0" w:val="single" w:color="000000"/>
              <w:top w:sz="3.200000047683716" w:val="single" w:color="000000"/>
              <w:right w:sz="3.200000047683716" w:val="single" w:color="000000"/>
              <w:bottom w:sz="4.0" w:val="single" w:color="000000"/>
            </w:tcBorders>
          </w:tcPr>
          <w:p/>
        </w:tc>
      </w:tr>
      <w:tr>
        <w:trPr>
          <w:trHeight w:hRule="exact" w:val="406"/>
        </w:trPr>
        <w:tc>
          <w:tcPr>
            <w:tcW w:type="dxa" w:w="1835"/>
            <w:vMerge/>
            <w:tcBorders>
              <w:left w:sz="3.200000047683716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</w:tcPr>
          <w:p/>
        </w:tc>
        <w:tc>
          <w:tcPr>
            <w:tcW w:type="dxa" w:w="142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第三档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7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35%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负荷率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&lt;40% </w:t>
            </w:r>
          </w:p>
        </w:tc>
        <w:tc>
          <w:tcPr>
            <w:tcW w:type="dxa" w:w="22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100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>P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350 </w:t>
            </w:r>
          </w:p>
        </w:tc>
        <w:tc>
          <w:tcPr>
            <w:tcW w:type="dxa" w:w="1835"/>
            <w:vMerge/>
            <w:tcBorders>
              <w:left w:sz="4.0" w:val="single" w:color="000000"/>
              <w:top w:sz="3.200000047683716" w:val="single" w:color="000000"/>
              <w:right w:sz="3.200000047683716" w:val="single" w:color="000000"/>
              <w:bottom w:sz="4.0" w:val="single" w:color="000000"/>
            </w:tcBorders>
          </w:tcPr>
          <w:p/>
        </w:tc>
      </w:tr>
      <w:tr>
        <w:trPr>
          <w:trHeight w:hRule="exact" w:val="410"/>
        </w:trPr>
        <w:tc>
          <w:tcPr>
            <w:tcW w:type="dxa" w:w="1835"/>
            <w:vMerge/>
            <w:tcBorders>
              <w:left w:sz="3.200000047683716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</w:tcPr>
          <w:p/>
        </w:tc>
        <w:tc>
          <w:tcPr>
            <w:tcW w:type="dxa" w:w="142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4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第四档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7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30%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负荷率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&lt;35% </w:t>
            </w:r>
          </w:p>
        </w:tc>
        <w:tc>
          <w:tcPr>
            <w:tcW w:type="dxa" w:w="22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100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>P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400 </w:t>
            </w:r>
          </w:p>
        </w:tc>
        <w:tc>
          <w:tcPr>
            <w:tcW w:type="dxa" w:w="1835"/>
            <w:vMerge/>
            <w:tcBorders>
              <w:left w:sz="4.0" w:val="single" w:color="000000"/>
              <w:top w:sz="3.200000047683716" w:val="single" w:color="000000"/>
              <w:right w:sz="3.200000047683716" w:val="single" w:color="000000"/>
              <w:bottom w:sz="4.0" w:val="single" w:color="000000"/>
            </w:tcBorders>
          </w:tcPr>
          <w:p/>
        </w:tc>
      </w:tr>
      <w:tr>
        <w:trPr>
          <w:trHeight w:hRule="exact" w:val="410"/>
        </w:trPr>
        <w:tc>
          <w:tcPr>
            <w:tcW w:type="dxa" w:w="1835"/>
            <w:vMerge/>
            <w:tcBorders>
              <w:left w:sz="3.200000047683716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</w:tcPr>
          <w:p/>
        </w:tc>
        <w:tc>
          <w:tcPr>
            <w:tcW w:type="dxa" w:w="142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2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第五档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708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2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负荷率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&lt;30% </w:t>
            </w:r>
          </w:p>
        </w:tc>
        <w:tc>
          <w:tcPr>
            <w:tcW w:type="dxa" w:w="225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100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>P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450 </w:t>
            </w:r>
          </w:p>
        </w:tc>
        <w:tc>
          <w:tcPr>
            <w:tcW w:type="dxa" w:w="1835"/>
            <w:vMerge/>
            <w:tcBorders>
              <w:left w:sz="4.0" w:val="single" w:color="000000"/>
              <w:top w:sz="3.200000047683716" w:val="single" w:color="000000"/>
              <w:right w:sz="3.200000047683716" w:val="single" w:color="000000"/>
              <w:bottom w:sz="4.0" w:val="single" w:color="000000"/>
            </w:tcBorders>
          </w:tcPr>
          <w:p/>
        </w:tc>
      </w:tr>
      <w:tr>
        <w:trPr>
          <w:trHeight w:hRule="exact" w:val="612"/>
        </w:trPr>
        <w:tc>
          <w:tcPr>
            <w:tcW w:type="dxa" w:w="5228"/>
            <w:gridSpan w:val="3"/>
            <w:tcBorders>
              <w:left w:sz="3.200000047683716" w:val="single" w:color="000000"/>
              <w:top w:sz="4.0" w:val="single" w:color="000000"/>
              <w:right w:sz="4.0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4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储能电站报价限额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250"/>
            <w:tcBorders>
              <w:left w:sz="4.0" w:val="single" w:color="000000"/>
              <w:top w:sz="4.0" w:val="single" w:color="000000"/>
              <w:right w:sz="4.0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0&lt;P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450 </w:t>
            </w:r>
          </w:p>
        </w:tc>
        <w:tc>
          <w:tcPr>
            <w:tcW w:type="dxa" w:w="1598"/>
            <w:tcBorders>
              <w:left w:sz="4.0" w:val="single" w:color="000000"/>
              <w:top w:sz="4.0" w:val="single" w:color="000000"/>
              <w:right w:sz="3.200000047683716" w:val="single" w:color="000000"/>
              <w:bottom w:sz="3.20000004768371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8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32"/>
              </w:rPr>
              <w:t xml:space="preserve">- </w:t>
            </w:r>
          </w:p>
        </w:tc>
      </w:tr>
      <w:tr>
        <w:trPr>
          <w:trHeight w:hRule="exact" w:val="610"/>
        </w:trPr>
        <w:tc>
          <w:tcPr>
            <w:tcW w:type="dxa" w:w="5228"/>
            <w:gridSpan w:val="3"/>
            <w:tcBorders>
              <w:left w:sz="3.200000047683716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2" w:after="0"/>
              <w:ind w:left="0" w:right="0" w:firstLine="0"/>
              <w:jc w:val="center"/>
            </w:pPr>
            <w:r>
              <w:rPr>
                <w:rFonts w:ascii="8Nm6mGed+FangSong_GB2312" w:hAnsi="8Nm6mGed+FangSong_GB2312" w:eastAsia="8Nm6mGed+FangSong_GB2312"/>
                <w:color w:val="000000"/>
                <w:sz w:val="28"/>
              </w:rPr>
              <w:t>负荷侧经营主体报价限额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 </w:t>
            </w:r>
          </w:p>
        </w:tc>
        <w:tc>
          <w:tcPr>
            <w:tcW w:type="dxa" w:w="2250"/>
            <w:tcBorders>
              <w:left w:sz="4.0" w:val="single" w:color="000000"/>
              <w:top w:sz="3.200000047683716" w:val="single" w:color="000000"/>
              <w:right w:sz="4.0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100&lt;P</w:t>
            </w:r>
            <w:r>
              <w:rPr>
                <w:rFonts w:ascii="EEALajzN+SimSun" w:hAnsi="EEALajzN+SimSun" w:eastAsia="EEALajzN+SimSun"/>
                <w:color w:val="000000"/>
                <w:sz w:val="28"/>
              </w:rPr>
              <w:t>≦</w:t>
            </w:r>
            <w:r>
              <w:rPr>
                <w:rFonts w:ascii="Times New Roman" w:hAnsi="Times New Roman" w:eastAsia="Times New Roman"/>
                <w:color w:val="000000"/>
                <w:sz w:val="28"/>
              </w:rPr>
              <w:t xml:space="preserve">260 </w:t>
            </w:r>
          </w:p>
        </w:tc>
        <w:tc>
          <w:tcPr>
            <w:tcW w:type="dxa" w:w="1598"/>
            <w:tcBorders>
              <w:left w:sz="4.0" w:val="single" w:color="000000"/>
              <w:top w:sz="3.200000047683716" w:val="single" w:color="000000"/>
              <w:right w:sz="3.200000047683716" w:val="single" w:color="000000"/>
              <w:bottom w:sz="4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18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32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322" w:lineRule="exact" w:before="22" w:after="0"/>
        <w:ind w:left="43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28"/>
        </w:rPr>
        <w:t>注：报价最小单位均为</w:t>
      </w:r>
      <w:r>
        <w:rPr>
          <w:rFonts w:ascii="Times New Roman" w:hAnsi="Times New Roman" w:eastAsia="Times New Roman"/>
          <w:color w:val="000000"/>
          <w:sz w:val="28"/>
        </w:rPr>
        <w:t>1</w:t>
      </w:r>
      <w:r>
        <w:rPr>
          <w:rFonts w:ascii="8Nm6mGed+FangSong_GB2312" w:hAnsi="8Nm6mGed+FangSong_GB2312" w:eastAsia="8Nm6mGed+FangSong_GB2312"/>
          <w:color w:val="000000"/>
          <w:sz w:val="28"/>
        </w:rPr>
        <w:t>元</w:t>
      </w:r>
      <w:r>
        <w:rPr>
          <w:rFonts w:ascii="Times New Roman" w:hAnsi="Times New Roman" w:eastAsia="Times New Roman"/>
          <w:color w:val="000000"/>
          <w:sz w:val="28"/>
        </w:rPr>
        <w:t>/</w:t>
      </w:r>
      <w:r>
        <w:rPr>
          <w:rFonts w:ascii="8Nm6mGed+FangSong_GB2312" w:hAnsi="8Nm6mGed+FangSong_GB2312" w:eastAsia="8Nm6mGed+FangSong_GB2312"/>
          <w:color w:val="000000"/>
          <w:sz w:val="28"/>
        </w:rPr>
        <w:t>兆瓦时，储能电站充电时间单位均为分钟。</w:t>
      </w:r>
      <w:r>
        <w:rPr>
          <w:rFonts w:ascii="Times New Roman" w:hAnsi="Times New Roman" w:eastAsia="Times New Roman"/>
          <w:color w:val="000000"/>
          <w:sz w:val="28"/>
        </w:rPr>
        <w:t xml:space="preserve"> </w:t>
      </w:r>
    </w:p>
    <w:p>
      <w:pPr>
        <w:autoSpaceDN w:val="0"/>
        <w:tabs>
          <w:tab w:pos="790" w:val="left"/>
          <w:tab w:pos="792" w:val="left"/>
          <w:tab w:pos="960" w:val="left"/>
        </w:tabs>
        <w:autoSpaceDE w:val="0"/>
        <w:widowControl/>
        <w:spacing w:line="586" w:lineRule="exact" w:before="598" w:after="0"/>
        <w:ind w:left="150" w:right="0" w:firstLine="0"/>
        <w:jc w:val="left"/>
      </w:pPr>
      <w:r>
        <w:tab/>
      </w:r>
      <w:r>
        <w:rPr>
          <w:rFonts w:ascii="8Nm6mGed+FangSong_GB2312" w:hAnsi="8Nm6mGed+FangSong_GB2312" w:eastAsia="8Nm6mGed+FangSong_GB2312"/>
          <w:b/>
          <w:color w:val="000000"/>
          <w:sz w:val="32"/>
        </w:rPr>
        <w:t>七、原规则附件</w:t>
      </w:r>
      <w:r>
        <w:rPr>
          <w:rFonts w:ascii="Times New Roman,Bold" w:hAnsi="Times New Roman,Bold" w:eastAsia="Times New Roman,Bold"/>
          <w:b/>
          <w:color w:val="000000"/>
          <w:sz w:val="32"/>
        </w:rPr>
        <w:t>4</w:t>
      </w:r>
      <w:r>
        <w:rPr>
          <w:rFonts w:ascii="8Nm6mGed+FangSong_GB2312" w:hAnsi="8Nm6mGed+FangSong_GB2312" w:eastAsia="8Nm6mGed+FangSong_GB2312"/>
          <w:color w:val="000000"/>
          <w:sz w:val="32"/>
        </w:rPr>
        <w:t>中深度调峰调节系数</w:t>
      </w:r>
      <w:r>
        <w:rPr>
          <w:rFonts w:ascii="Times New Roman" w:hAnsi="Times New Roman" w:eastAsia="Times New Roman"/>
          <w:color w:val="000000"/>
          <w:sz w:val="32"/>
        </w:rPr>
        <w:t>K</w:t>
      </w:r>
      <w:r>
        <w:rPr>
          <w:rFonts w:ascii="8Nm6mGed+FangSong_GB2312" w:hAnsi="8Nm6mGed+FangSong_GB2312" w:eastAsia="8Nm6mGed+FangSong_GB2312"/>
          <w:color w:val="000000"/>
          <w:sz w:val="32"/>
        </w:rPr>
        <w:t>修改为按日计算，</w:t>
      </w:r>
      <w:r>
        <w:rPr>
          <w:rFonts w:ascii="8Nm6mGed+FangSong_GB2312" w:hAnsi="8Nm6mGed+FangSong_GB2312" w:eastAsia="8Nm6mGed+FangSong_GB2312"/>
          <w:color w:val="000000"/>
          <w:sz w:val="32"/>
        </w:rPr>
        <w:t>计算公式如下：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color w:val="000000"/>
          <w:sz w:val="32"/>
        </w:rPr>
        <w:t>K=</w:t>
      </w:r>
      <w:r>
        <w:rPr>
          <w:rFonts w:ascii="8Nm6mGed+FangSong_GB2312" w:hAnsi="8Nm6mGed+FangSong_GB2312" w:eastAsia="8Nm6mGed+FangSong_GB2312"/>
          <w:color w:val="000000"/>
          <w:sz w:val="32"/>
        </w:rPr>
        <w:t>纳入辅助服务分摊的日电量</w:t>
      </w:r>
      <w:r>
        <w:rPr>
          <w:rFonts w:ascii="Times New Roman" w:hAnsi="Times New Roman" w:eastAsia="Times New Roman"/>
          <w:color w:val="000000"/>
          <w:sz w:val="32"/>
        </w:rPr>
        <w:t>/</w:t>
      </w:r>
      <w:r>
        <w:rPr>
          <w:rFonts w:ascii="8Nm6mGed+FangSong_GB2312" w:hAnsi="8Nm6mGed+FangSong_GB2312" w:eastAsia="8Nm6mGed+FangSong_GB2312"/>
          <w:color w:val="000000"/>
          <w:sz w:val="32"/>
        </w:rPr>
        <w:t>调度总发受电日电量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tab/>
      </w:r>
      <w:r>
        <w:rPr>
          <w:rFonts w:ascii="8Nm6mGed+FangSong_GB2312" w:hAnsi="8Nm6mGed+FangSong_GB2312" w:eastAsia="8Nm6mGed+FangSong_GB2312"/>
          <w:color w:val="000000"/>
          <w:sz w:val="32"/>
        </w:rPr>
        <w:t>式中：纳入辅助服务分摊的日电量是指已经纳入辅助服务市</w:t>
      </w:r>
    </w:p>
    <w:p>
      <w:pPr>
        <w:autoSpaceDN w:val="0"/>
        <w:autoSpaceDE w:val="0"/>
        <w:widowControl/>
        <w:spacing w:line="318" w:lineRule="exact" w:before="282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场分摊的日发电量，按类型统计，目前包括火电（含燃煤、燃气、</w:t>
      </w:r>
    </w:p>
    <w:p>
      <w:pPr>
        <w:autoSpaceDN w:val="0"/>
        <w:autoSpaceDE w:val="0"/>
        <w:widowControl/>
        <w:spacing w:line="286" w:lineRule="exact" w:before="1102" w:after="0"/>
        <w:ind w:left="150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- 6 -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142" w:right="1292" w:bottom="624" w:left="1440" w:header="720" w:footer="720" w:gutter="0"/>
          <w:cols w:num="1" w:equalWidth="0" w:space="720">
            <w:col w:w="917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922" w:after="0"/>
        <w:ind w:left="0" w:right="0"/>
      </w:pPr>
    </w:p>
    <w:p>
      <w:pPr>
        <w:autoSpaceDN w:val="0"/>
        <w:autoSpaceDE w:val="0"/>
        <w:widowControl/>
        <w:spacing w:line="542" w:lineRule="exact" w:before="0" w:after="0"/>
        <w:ind w:left="150" w:right="62" w:firstLine="0"/>
        <w:jc w:val="both"/>
      </w:pPr>
      <w:r>
        <w:rPr>
          <w:rFonts w:ascii="8Nm6mGed+FangSong_GB2312" w:hAnsi="8Nm6mGed+FangSong_GB2312" w:eastAsia="8Nm6mGed+FangSong_GB2312"/>
          <w:color w:val="000000"/>
          <w:sz w:val="32"/>
        </w:rPr>
        <w:t>垃圾、生物质）、水电（不含抽蓄）、风电、</w:t>
      </w:r>
      <w:r>
        <w:rPr>
          <w:rFonts w:ascii="Times New Roman" w:hAnsi="Times New Roman" w:eastAsia="Times New Roman"/>
          <w:color w:val="000000"/>
          <w:sz w:val="32"/>
        </w:rPr>
        <w:t>10kV</w:t>
      </w:r>
      <w:r>
        <w:rPr>
          <w:rFonts w:ascii="8Nm6mGed+FangSong_GB2312" w:hAnsi="8Nm6mGed+FangSong_GB2312" w:eastAsia="8Nm6mGed+FangSong_GB2312"/>
          <w:color w:val="000000"/>
          <w:sz w:val="32"/>
        </w:rPr>
        <w:t>及以上集中式</w:t>
      </w:r>
      <w:r>
        <w:rPr>
          <w:rFonts w:ascii="8Nm6mGed+FangSong_GB2312" w:hAnsi="8Nm6mGed+FangSong_GB2312" w:eastAsia="8Nm6mGed+FangSong_GB2312"/>
          <w:color w:val="000000"/>
          <w:sz w:val="32"/>
        </w:rPr>
        <w:t>光伏。调度总发受电日电量是指各类电源（不含抽蓄、储能）、</w:t>
      </w:r>
      <w:r>
        <w:rPr>
          <w:rFonts w:ascii="Times New Roman" w:hAnsi="Times New Roman" w:eastAsia="Times New Roman"/>
          <w:color w:val="000000"/>
          <w:sz w:val="32"/>
        </w:rPr>
        <w:t>10kV</w:t>
      </w:r>
      <w:r>
        <w:rPr>
          <w:rFonts w:ascii="8Nm6mGed+FangSong_GB2312" w:hAnsi="8Nm6mGed+FangSong_GB2312" w:eastAsia="8Nm6mGed+FangSong_GB2312"/>
          <w:color w:val="000000"/>
          <w:sz w:val="32"/>
        </w:rPr>
        <w:t>以下分布式光伏及外来电日电量之和。以上各类日电量均</w:t>
      </w:r>
      <w:r>
        <w:rPr>
          <w:rFonts w:ascii="8Nm6mGed+FangSong_GB2312" w:hAnsi="8Nm6mGed+FangSong_GB2312" w:eastAsia="8Nm6mGed+FangSong_GB2312"/>
          <w:color w:val="000000"/>
          <w:sz w:val="32"/>
        </w:rPr>
        <w:t>为纳入各级调度管辖且具备采集条件电厂的积分电量。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86" w:lineRule="exact" w:before="10856" w:after="0"/>
        <w:ind w:left="8294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- 7 -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142" w:right="1410" w:bottom="624" w:left="1440" w:header="720" w:footer="720" w:gutter="0"/>
          <w:cols w:num="1" w:equalWidth="0" w:space="720">
            <w:col w:w="905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868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1073150</wp:posOffset>
            </wp:positionH>
            <wp:positionV relativeFrom="page">
              <wp:posOffset>2078989</wp:posOffset>
            </wp:positionV>
            <wp:extent cx="5487670" cy="77005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7700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1073150</wp:posOffset>
            </wp:positionH>
            <wp:positionV relativeFrom="page">
              <wp:posOffset>2125980</wp:posOffset>
            </wp:positionV>
            <wp:extent cx="5761990" cy="32152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15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1484630</wp:posOffset>
            </wp:positionH>
            <wp:positionV relativeFrom="page">
              <wp:posOffset>2482850</wp:posOffset>
            </wp:positionV>
            <wp:extent cx="4939030" cy="32137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3213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2" w:lineRule="exact" w:before="0" w:after="0"/>
        <w:ind w:left="150" w:right="0" w:firstLine="0"/>
        <w:jc w:val="left"/>
      </w:pPr>
      <w:r>
        <w:rPr>
          <w:rFonts w:ascii="NKjVWfXa+SimHei" w:hAnsi="NKjVWfXa+SimHei" w:eastAsia="NKjVWfXa+SimHei"/>
          <w:color w:val="000000"/>
          <w:sz w:val="32"/>
        </w:rPr>
        <w:t>附件</w:t>
      </w:r>
      <w:r>
        <w:rPr>
          <w:rFonts w:ascii="6HylSPFC+SimHei" w:hAnsi="6HylSPFC+SimHei" w:eastAsia="6HylSPFC+SimHei"/>
          <w:color w:val="000000"/>
          <w:sz w:val="32"/>
        </w:rPr>
        <w:t>2</w:t>
      </w:r>
      <w:r>
        <w:rPr>
          <w:rFonts w:ascii="NKjVWfXa+SimHei" w:hAnsi="NKjVWfXa+SimHei" w:eastAsia="NKjVWfXa+SimHei"/>
          <w:color w:val="000000"/>
          <w:sz w:val="32"/>
        </w:rPr>
        <w:t>：</w:t>
      </w:r>
      <w:r>
        <w:rPr>
          <w:rFonts w:ascii="6HylSPFC+SimHei" w:hAnsi="6HylSPFC+SimHei" w:eastAsia="6HylSPFC+SimHei"/>
          <w:color w:val="000000"/>
          <w:sz w:val="40"/>
        </w:rPr>
        <w:t xml:space="preserve"> </w:t>
      </w:r>
    </w:p>
    <w:p>
      <w:pPr>
        <w:autoSpaceDN w:val="0"/>
        <w:autoSpaceDE w:val="0"/>
        <w:widowControl/>
        <w:spacing w:line="366" w:lineRule="exact" w:before="2536" w:after="0"/>
        <w:ind w:left="792" w:right="0" w:firstLine="0"/>
        <w:jc w:val="left"/>
      </w:pPr>
      <w:r>
        <w:rPr>
          <w:rFonts w:ascii="8Nm6mGed+FangSong_GB2312" w:hAnsi="8Nm6mGed+FangSong_GB2312" w:eastAsia="8Nm6mGed+FangSong_GB2312"/>
          <w:b/>
          <w:color w:val="000000"/>
          <w:sz w:val="32"/>
        </w:rPr>
        <w:t>第一条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华中省间电力调峰及备用辅助服务市场省间调峰辅</w:t>
      </w:r>
    </w:p>
    <w:p>
      <w:pPr>
        <w:autoSpaceDN w:val="0"/>
        <w:autoSpaceDE w:val="0"/>
        <w:widowControl/>
        <w:spacing w:line="320" w:lineRule="exact" w:before="216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助服务湖南电网售出电量是指湖南电网经营主体通过购买华中</w:t>
      </w:r>
    </w:p>
    <w:p>
      <w:pPr>
        <w:autoSpaceDN w:val="0"/>
        <w:autoSpaceDE w:val="0"/>
        <w:widowControl/>
        <w:spacing w:line="368" w:lineRule="exact" w:before="218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其他省电网调峰辅助服务售出的电量。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tabs>
          <w:tab w:pos="792" w:val="left"/>
        </w:tabs>
        <w:autoSpaceDE w:val="0"/>
        <w:widowControl/>
        <w:spacing w:line="560" w:lineRule="exact" w:before="0" w:after="0"/>
        <w:ind w:left="150" w:right="0" w:firstLine="0"/>
        <w:jc w:val="left"/>
      </w:pPr>
      <w:r>
        <w:tab/>
      </w:r>
      <w:r>
        <w:rPr>
          <w:rFonts w:ascii="8Nm6mGed+FangSong_GB2312" w:hAnsi="8Nm6mGed+FangSong_GB2312" w:eastAsia="8Nm6mGed+FangSong_GB2312"/>
          <w:b/>
          <w:color w:val="000000"/>
          <w:sz w:val="32"/>
        </w:rPr>
        <w:t>第二条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湖南参与华中省间电力调峰及备用辅助服务市场省</w:t>
      </w:r>
      <w:r>
        <w:rPr>
          <w:rFonts w:ascii="8Nm6mGed+FangSong_GB2312" w:hAnsi="8Nm6mGed+FangSong_GB2312" w:eastAsia="8Nm6mGed+FangSong_GB2312"/>
          <w:color w:val="000000"/>
          <w:sz w:val="32"/>
        </w:rPr>
        <w:t>间调峰辅助服务交易的必要条件为：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tabs>
          <w:tab w:pos="790" w:val="left"/>
        </w:tabs>
        <w:autoSpaceDE w:val="0"/>
        <w:widowControl/>
        <w:spacing w:line="560" w:lineRule="exact" w:before="0" w:after="0"/>
        <w:ind w:left="150" w:right="0" w:firstLine="0"/>
        <w:jc w:val="left"/>
      </w:pPr>
      <w:r>
        <w:tab/>
      </w:r>
      <w:r>
        <w:rPr>
          <w:rFonts w:ascii="Times New Roman" w:hAnsi="Times New Roman" w:eastAsia="Times New Roman"/>
          <w:color w:val="000000"/>
          <w:sz w:val="32"/>
        </w:rPr>
        <w:t>1.</w:t>
      </w:r>
      <w:r>
        <w:rPr>
          <w:rFonts w:ascii="8Nm6mGed+FangSong_GB2312" w:hAnsi="8Nm6mGed+FangSong_GB2312" w:eastAsia="8Nm6mGed+FangSong_GB2312"/>
          <w:color w:val="000000"/>
          <w:sz w:val="32"/>
        </w:rPr>
        <w:t>预计湖南电网负备用不足；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color w:val="000000"/>
          <w:sz w:val="32"/>
        </w:rPr>
        <w:t>2.</w:t>
      </w:r>
      <w:r>
        <w:rPr>
          <w:rFonts w:ascii="8Nm6mGed+FangSong_GB2312" w:hAnsi="8Nm6mGed+FangSong_GB2312" w:eastAsia="8Nm6mGed+FangSong_GB2312"/>
          <w:color w:val="000000"/>
          <w:sz w:val="32"/>
        </w:rPr>
        <w:t>湖南电力辅助服务市场已启动，仍无法满足清洁能源消纳</w:t>
      </w:r>
      <w:r>
        <w:rPr>
          <w:rFonts w:ascii="8Nm6mGed+FangSong_GB2312" w:hAnsi="8Nm6mGed+FangSong_GB2312" w:eastAsia="8Nm6mGed+FangSong_GB2312"/>
          <w:color w:val="000000"/>
          <w:sz w:val="32"/>
        </w:rPr>
        <w:t>需求，可能导致弃电。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tabs>
          <w:tab w:pos="792" w:val="left"/>
        </w:tabs>
        <w:autoSpaceDE w:val="0"/>
        <w:widowControl/>
        <w:spacing w:line="560" w:lineRule="exact" w:before="0" w:after="0"/>
        <w:ind w:left="150" w:right="0" w:firstLine="0"/>
        <w:jc w:val="left"/>
      </w:pPr>
      <w:r>
        <w:tab/>
      </w:r>
      <w:r>
        <w:rPr>
          <w:rFonts w:ascii="8Nm6mGed+FangSong_GB2312" w:hAnsi="8Nm6mGed+FangSong_GB2312" w:eastAsia="8Nm6mGed+FangSong_GB2312"/>
          <w:b/>
          <w:color w:val="000000"/>
          <w:sz w:val="32"/>
        </w:rPr>
        <w:t>第三条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省间调峰辅助服务分摊对象为纳入湖南省内辅助服</w:t>
      </w:r>
      <w:r>
        <w:rPr>
          <w:rFonts w:ascii="8Nm6mGed+FangSong_GB2312" w:hAnsi="8Nm6mGed+FangSong_GB2312" w:eastAsia="8Nm6mGed+FangSong_GB2312"/>
          <w:color w:val="000000"/>
          <w:sz w:val="32"/>
        </w:rPr>
        <w:t>务市场的集中式新能源场（站）及水电经营主体。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66" w:lineRule="exact" w:before="194" w:after="0"/>
        <w:ind w:left="792" w:right="0" w:firstLine="0"/>
        <w:jc w:val="left"/>
      </w:pPr>
      <w:r>
        <w:rPr>
          <w:rFonts w:ascii="8Nm6mGed+FangSong_GB2312" w:hAnsi="8Nm6mGed+FangSong_GB2312" w:eastAsia="8Nm6mGed+FangSong_GB2312"/>
          <w:b/>
          <w:color w:val="000000"/>
          <w:sz w:val="32"/>
        </w:rPr>
        <w:t>第四条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若交易时段省间调峰售出电量小于等于新能源主体</w:t>
      </w:r>
    </w:p>
    <w:p>
      <w:pPr>
        <w:autoSpaceDN w:val="0"/>
        <w:autoSpaceDE w:val="0"/>
        <w:widowControl/>
        <w:spacing w:line="318" w:lineRule="exact" w:before="214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扣除省间现货后的上网电量，则售出电量按照交易时段新能源主</w:t>
      </w:r>
    </w:p>
    <w:p>
      <w:pPr>
        <w:autoSpaceDN w:val="0"/>
        <w:autoSpaceDE w:val="0"/>
        <w:widowControl/>
        <w:spacing w:line="320" w:lineRule="exact" w:before="24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体扣除省间现货后的上网电量占比予以分摊；若交易时段省间调</w:t>
      </w:r>
    </w:p>
    <w:p>
      <w:pPr>
        <w:autoSpaceDN w:val="0"/>
        <w:autoSpaceDE w:val="0"/>
        <w:widowControl/>
        <w:spacing w:line="320" w:lineRule="exact" w:before="242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峰售出电量高于新能源主体扣除省间现货后的上网电量，则先将</w:t>
      </w:r>
    </w:p>
    <w:p>
      <w:pPr>
        <w:autoSpaceDN w:val="0"/>
        <w:autoSpaceDE w:val="0"/>
        <w:widowControl/>
        <w:spacing w:line="320" w:lineRule="exact" w:before="24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售出电量分摊至新能源主体，剩余部分按照交易时段水电主体上</w:t>
      </w:r>
    </w:p>
    <w:p>
      <w:pPr>
        <w:autoSpaceDN w:val="0"/>
        <w:autoSpaceDE w:val="0"/>
        <w:widowControl/>
        <w:spacing w:line="368" w:lineRule="exact" w:before="218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网电量占比予以分摊。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68" w:lineRule="exact" w:before="194" w:after="0"/>
        <w:ind w:left="792" w:right="0" w:firstLine="0"/>
        <w:jc w:val="left"/>
      </w:pPr>
      <w:r>
        <w:rPr>
          <w:rFonts w:ascii="8Nm6mGed+FangSong_GB2312" w:hAnsi="8Nm6mGed+FangSong_GB2312" w:eastAsia="8Nm6mGed+FangSong_GB2312"/>
          <w:b/>
          <w:color w:val="000000"/>
          <w:sz w:val="32"/>
        </w:rPr>
        <w:t>第五条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参与省间调峰辅助服务交易的各经营主体相应售出</w:t>
      </w:r>
    </w:p>
    <w:p>
      <w:pPr>
        <w:autoSpaceDN w:val="0"/>
        <w:autoSpaceDE w:val="0"/>
        <w:widowControl/>
        <w:spacing w:line="286" w:lineRule="exact" w:before="860" w:after="0"/>
        <w:ind w:left="150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- 8 -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090" w:right="1440" w:bottom="624" w:left="1440" w:header="720" w:footer="720" w:gutter="0"/>
          <w:cols w:num="1" w:equalWidth="0" w:space="720">
            <w:col w:w="902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906" w:after="0"/>
        <w:ind w:left="0" w:right="0"/>
      </w:pPr>
    </w:p>
    <w:p>
      <w:pPr>
        <w:autoSpaceDN w:val="0"/>
        <w:tabs>
          <w:tab w:pos="792" w:val="left"/>
        </w:tabs>
        <w:autoSpaceDE w:val="0"/>
        <w:widowControl/>
        <w:spacing w:line="464" w:lineRule="exact" w:before="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电量不再参与湖南电力辅助服务市场调峰服务费用分摊。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tab/>
      </w:r>
      <w:r>
        <w:rPr>
          <w:rFonts w:ascii="8Nm6mGed+FangSong_GB2312" w:hAnsi="8Nm6mGed+FangSong_GB2312" w:eastAsia="8Nm6mGed+FangSong_GB2312"/>
          <w:b/>
          <w:color w:val="000000"/>
          <w:sz w:val="32"/>
        </w:rPr>
        <w:t>第六条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电力调度机构在省间辅助服务技术支持系统向相关</w:t>
      </w:r>
    </w:p>
    <w:p>
      <w:pPr>
        <w:autoSpaceDN w:val="0"/>
        <w:autoSpaceDE w:val="0"/>
        <w:widowControl/>
        <w:spacing w:line="318" w:lineRule="exact" w:before="216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经营主体发布每日的分摊信息，分摊电量在相关经营主体月度电</w:t>
      </w:r>
    </w:p>
    <w:p>
      <w:pPr>
        <w:autoSpaceDN w:val="0"/>
        <w:autoSpaceDE w:val="0"/>
        <w:widowControl/>
        <w:spacing w:line="368" w:lineRule="exact" w:before="220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费中一并结算。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tabs>
          <w:tab w:pos="792" w:val="left"/>
        </w:tabs>
        <w:autoSpaceDE w:val="0"/>
        <w:widowControl/>
        <w:spacing w:line="560" w:lineRule="exact" w:before="0" w:after="0"/>
        <w:ind w:left="150" w:right="0" w:firstLine="0"/>
        <w:jc w:val="left"/>
      </w:pPr>
      <w:r>
        <w:tab/>
      </w:r>
      <w:r>
        <w:rPr>
          <w:rFonts w:ascii="8Nm6mGed+FangSong_GB2312" w:hAnsi="8Nm6mGed+FangSong_GB2312" w:eastAsia="8Nm6mGed+FangSong_GB2312"/>
          <w:b/>
          <w:color w:val="000000"/>
          <w:sz w:val="32"/>
        </w:rPr>
        <w:t>第七条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根据市场发展情况，逐步将外电入湘或转送电量纳</w:t>
      </w:r>
      <w:r>
        <w:rPr>
          <w:rFonts w:ascii="8Nm6mGed+FangSong_GB2312" w:hAnsi="8Nm6mGed+FangSong_GB2312" w:eastAsia="8Nm6mGed+FangSong_GB2312"/>
          <w:color w:val="000000"/>
          <w:sz w:val="32"/>
        </w:rPr>
        <w:t>入省间调峰辅助服务分摊对象范围。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68" w:lineRule="exact" w:before="192" w:after="0"/>
        <w:ind w:left="792" w:right="0" w:firstLine="0"/>
        <w:jc w:val="left"/>
      </w:pPr>
      <w:r>
        <w:rPr>
          <w:rFonts w:ascii="8Nm6mGed+FangSong_GB2312" w:hAnsi="8Nm6mGed+FangSong_GB2312" w:eastAsia="8Nm6mGed+FangSong_GB2312"/>
          <w:b/>
          <w:color w:val="000000"/>
          <w:sz w:val="32"/>
        </w:rPr>
        <w:t>第八条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本细则由湖南能源监管办负责解释。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366" w:lineRule="exact" w:before="192" w:after="0"/>
        <w:ind w:left="792" w:right="0" w:firstLine="0"/>
        <w:jc w:val="left"/>
      </w:pPr>
      <w:r>
        <w:rPr>
          <w:rFonts w:ascii="8Nm6mGed+FangSong_GB2312" w:hAnsi="8Nm6mGed+FangSong_GB2312" w:eastAsia="8Nm6mGed+FangSong_GB2312"/>
          <w:b/>
          <w:color w:val="000000"/>
          <w:sz w:val="32"/>
        </w:rPr>
        <w:t>第九条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ascii="8Nm6mGed+FangSong_GB2312" w:hAnsi="8Nm6mGed+FangSong_GB2312" w:eastAsia="8Nm6mGed+FangSong_GB2312"/>
          <w:color w:val="000000"/>
          <w:sz w:val="32"/>
        </w:rPr>
        <w:t>本细则自发布之日起实施，</w:t>
      </w:r>
      <w:r>
        <w:rPr>
          <w:rFonts w:ascii="8Nm6mGed+FangSong_GB2312" w:hAnsi="8Nm6mGed+FangSong_GB2312" w:eastAsia="8Nm6mGed+FangSong_GB2312"/>
          <w:color w:val="000000"/>
          <w:sz w:val="32"/>
        </w:rPr>
        <w:t>《华中电力调峰辅助服务</w:t>
      </w:r>
    </w:p>
    <w:p>
      <w:pPr>
        <w:autoSpaceDN w:val="0"/>
        <w:autoSpaceDE w:val="0"/>
        <w:widowControl/>
        <w:spacing w:line="320" w:lineRule="exact" w:before="216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市场省间调峰辅助服务湖南电网售出电量分摊细则（试行）》（湘</w:t>
      </w:r>
    </w:p>
    <w:p>
      <w:pPr>
        <w:autoSpaceDN w:val="0"/>
        <w:autoSpaceDE w:val="0"/>
        <w:widowControl/>
        <w:spacing w:line="368" w:lineRule="exact" w:before="218" w:after="0"/>
        <w:ind w:left="15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32"/>
        </w:rPr>
        <w:t>监能市场„</w:t>
      </w:r>
      <w:r>
        <w:rPr>
          <w:rFonts w:ascii="Times New Roman" w:hAnsi="Times New Roman" w:eastAsia="Times New Roman"/>
          <w:color w:val="000000"/>
          <w:sz w:val="32"/>
        </w:rPr>
        <w:t>2022</w:t>
      </w:r>
      <w:r>
        <w:rPr>
          <w:rFonts w:ascii="8Nm6mGed+FangSong_GB2312" w:hAnsi="8Nm6mGed+FangSong_GB2312" w:eastAsia="8Nm6mGed+FangSong_GB2312"/>
          <w:color w:val="000000"/>
          <w:sz w:val="32"/>
        </w:rPr>
        <w:t>‟</w:t>
      </w:r>
      <w:r>
        <w:rPr>
          <w:rFonts w:ascii="Times New Roman" w:hAnsi="Times New Roman" w:eastAsia="Times New Roman"/>
          <w:color w:val="000000"/>
          <w:sz w:val="32"/>
        </w:rPr>
        <w:t>50</w:t>
      </w:r>
      <w:r>
        <w:rPr>
          <w:rFonts w:ascii="8Nm6mGed+FangSong_GB2312" w:hAnsi="8Nm6mGed+FangSong_GB2312" w:eastAsia="8Nm6mGed+FangSong_GB2312"/>
          <w:color w:val="000000"/>
          <w:sz w:val="32"/>
        </w:rPr>
        <w:t>号）同时废止。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86" w:lineRule="exact" w:before="7646" w:after="0"/>
        <w:ind w:left="8294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- 9 -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p>
      <w:pPr>
        <w:sectPr>
          <w:pgSz w:w="11906" w:h="17238"/>
          <w:pgMar w:top="1126" w:right="1410" w:bottom="624" w:left="1440" w:header="720" w:footer="720" w:gutter="0"/>
          <w:cols w:num="1" w:equalWidth="0" w:space="720">
            <w:col w:w="905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11924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768350</wp:posOffset>
            </wp:positionH>
            <wp:positionV relativeFrom="page">
              <wp:posOffset>8625840</wp:posOffset>
            </wp:positionV>
            <wp:extent cx="6054090" cy="2538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53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8961120</wp:posOffset>
            </wp:positionV>
            <wp:extent cx="6054090" cy="2538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53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789940</wp:posOffset>
            </wp:positionH>
            <wp:positionV relativeFrom="page">
              <wp:posOffset>9296400</wp:posOffset>
            </wp:positionV>
            <wp:extent cx="6054090" cy="2115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211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exact" w:before="136" w:after="0"/>
        <w:ind w:left="380" w:right="0" w:firstLine="0"/>
        <w:jc w:val="left"/>
      </w:pPr>
      <w:r>
        <w:rPr>
          <w:rFonts w:ascii="8Nm6mGed+FangSong_GB2312" w:hAnsi="8Nm6mGed+FangSong_GB2312" w:eastAsia="8Nm6mGed+FangSong_GB2312"/>
          <w:color w:val="000000"/>
          <w:sz w:val="28"/>
        </w:rPr>
        <w:t>抄送：国家能源局华中监管局。</w:t>
      </w:r>
      <w:r>
        <w:rPr>
          <w:rFonts w:ascii="Times New Roman" w:hAnsi="Times New Roman" w:eastAsia="Times New Roman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66" w:lineRule="exact" w:before="174" w:after="0"/>
        <w:ind w:left="0" w:right="0" w:firstLine="0"/>
        <w:jc w:val="center"/>
      </w:pPr>
      <w:r>
        <w:rPr>
          <w:rFonts w:ascii="8Nm6mGed+FangSong_GB2312" w:hAnsi="8Nm6mGed+FangSong_GB2312" w:eastAsia="8Nm6mGed+FangSong_GB2312"/>
          <w:color w:val="000000"/>
          <w:sz w:val="28"/>
        </w:rPr>
        <w:t>国家能源局湖南监管办公室</w:t>
      </w:r>
      <w:r>
        <w:rPr>
          <w:rFonts w:ascii="Times New Roman" w:hAnsi="Times New Roman" w:eastAsia="Times New Roman"/>
          <w:color w:val="000000"/>
          <w:sz w:val="28"/>
        </w:rPr>
        <w:t xml:space="preserve">                  2025</w:t>
      </w:r>
      <w:r>
        <w:rPr>
          <w:rFonts w:ascii="8Nm6mGed+FangSong_GB2312" w:hAnsi="8Nm6mGed+FangSong_GB2312" w:eastAsia="8Nm6mGed+FangSong_GB2312"/>
          <w:color w:val="000000"/>
          <w:sz w:val="28"/>
        </w:rPr>
        <w:t>年</w:t>
      </w:r>
      <w:r>
        <w:rPr>
          <w:rFonts w:ascii="Times New Roman" w:hAnsi="Times New Roman" w:eastAsia="Times New Roman"/>
          <w:color w:val="000000"/>
          <w:sz w:val="28"/>
        </w:rPr>
        <w:t>10</w:t>
      </w:r>
      <w:r>
        <w:rPr>
          <w:rFonts w:ascii="8Nm6mGed+FangSong_GB2312" w:hAnsi="8Nm6mGed+FangSong_GB2312" w:eastAsia="8Nm6mGed+FangSong_GB2312"/>
          <w:color w:val="000000"/>
          <w:sz w:val="28"/>
        </w:rPr>
        <w:t>月</w:t>
      </w:r>
      <w:r>
        <w:rPr>
          <w:rFonts w:ascii="Times New Roman" w:hAnsi="Times New Roman" w:eastAsia="Times New Roman"/>
          <w:color w:val="000000"/>
          <w:sz w:val="28"/>
        </w:rPr>
        <w:t>14</w:t>
      </w:r>
      <w:r>
        <w:rPr>
          <w:rFonts w:ascii="8Nm6mGed+FangSong_GB2312" w:hAnsi="8Nm6mGed+FangSong_GB2312" w:eastAsia="8Nm6mGed+FangSong_GB2312"/>
          <w:color w:val="000000"/>
          <w:sz w:val="28"/>
        </w:rPr>
        <w:t>日印发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</w:p>
    <w:p>
      <w:pPr>
        <w:autoSpaceDN w:val="0"/>
        <w:autoSpaceDE w:val="0"/>
        <w:widowControl/>
        <w:spacing w:line="286" w:lineRule="exact" w:before="722" w:after="0"/>
        <w:ind w:left="380" w:right="0" w:firstLine="0"/>
        <w:jc w:val="left"/>
      </w:pPr>
      <w:r>
        <w:rPr>
          <w:rFonts w:ascii="dF9ol98B+SimSun" w:hAnsi="dF9ol98B+SimSun" w:eastAsia="dF9ol98B+SimSun"/>
          <w:color w:val="000000"/>
          <w:sz w:val="28"/>
        </w:rPr>
        <w:t>- 10 -</w:t>
      </w:r>
      <w:r>
        <w:rPr>
          <w:rFonts w:ascii="2Xl43HlU+Calibri" w:hAnsi="2Xl43HlU+Calibri" w:eastAsia="2Xl43HlU+Calibri"/>
          <w:color w:val="000000"/>
          <w:sz w:val="18"/>
        </w:rPr>
        <w:t xml:space="preserve"> </w:t>
      </w:r>
    </w:p>
    <w:sectPr w:rsidR="00FC693F" w:rsidRPr="0006063C" w:rsidSect="00034616">
      <w:pgSz w:w="11906" w:h="17238"/>
      <w:pgMar w:top="1440" w:right="1108" w:bottom="624" w:left="1210" w:header="720" w:footer="720" w:gutter="0"/>
      <w:cols w:num="1" w:equalWidth="0" w:space="720">
        <w:col w:w="958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2Xl43HlU+Calibr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BDA1ED5B-4F57-4A2A-83F8-E004C28CB278}"/>
  </w:font>
  <w:font w:name="dF9ol98B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0A54C933-584C-4CC5-9E78-1B0EC8FC1F50}"/>
  </w:font>
  <w:font w:name="8Nm6mGed+FangSong_GB2312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BF145F78-6713-4E5C-B487-721257BC0116}"/>
  </w:font>
  <w:font w:name="NKjVWfXa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E0B58A38-4EAA-4A5E-AB39-0AB1A5827E17}"/>
  </w:font>
  <w:font w:name="6HylSPFC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9C2700BF-499F-4399-ACCD-B281992F84D7}"/>
  </w:font>
  <w:font w:name="Zkw0EGab+FZFangSong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6" w:fontKey="{E0C85F7C-66B1-4612-BDDB-45CC9D3E4956}"/>
  </w:font>
  <w:font w:name="J1gl3iHt+Times New Roma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7" w:fontKey="{0B664350-FBED-4F67-850F-EAD752604438}"/>
  </w:font>
  <w:font w:name="EEALajzN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8" w:fontKey="{36E67759-62C4-4110-8CFC-094660F23A8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