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footer+xml" PartName="/word/footer23.xml"/>
  <Override ContentType="application/vnd.openxmlformats-officedocument.wordprocessingml.footer+xml" PartName="/word/footer24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header+xml" PartName="/word/header21.xml"/>
  <Override ContentType="application/vnd.openxmlformats-officedocument.wordprocessingml.header+xml" PartName="/word/header22.xml"/>
  <Override ContentType="application/vnd.openxmlformats-officedocument.wordprocessingml.header+xml" PartName="/word/header23.xml"/>
  <Override ContentType="application/vnd.openxmlformats-officedocument.wordprocessingml.header+xml" PartName="/word/header24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ageBreakBefore w:val="off"/>
        <w:tabs/>
        <w:wordWrap w:val="off"/>
        <w:spacing w:before="6120" w:after="0" w:line="1340" w:lineRule="atLeast"/>
        <w:ind w:left="0" w:right="0"/>
        <w:jc w:val="center"/>
        <w:textAlignment w:val="baseline"/>
        <w:rPr>
          <w:sz w:val="90"/>
        </w:rPr>
      </w:pPr>
      <w:bookmarkStart w:name="" w:id="1001"/>
      <w:r>
        <w:rPr>
          <w:rFonts w:ascii="宋体" w:hAnsi="宋体" w:cs="宋体" w:eastAsia="宋体"/>
          <w:sz w:val="90"/>
          <w:spacing w:val="0"/>
          <w:color w:val="000000"/>
          <w:b w:val="on"/>
          <w:i w:val="off"/>
        </w:rPr>
        <w:t>湖南省电力市场计量实施细则</w:t>
      </w:r>
      <w:bookmarkEnd w:id="1001"/>
    </w:p>
    <w:p>
      <w:r>
        <w:t/>
      </w:r>
    </w:p>
    <w:p>
      <w:pPr>
        <w:sectPr>
          <w:footerReference r:id="rId5"/>
          <w:headerReference r:id="rId6" w:type="default"/>
          <w:pgSz w:w="22400" w:h="31680"/>
          <w:pgMar w:left="3380" w:top="2700" w:right="3380" w:bottom="2700" w:header="2400" w:footer="2400"/>
          <w:cols w:num="1"/>
        </w:sectPr>
      </w:pPr>
    </w:p>
    <w:p>
      <w:pPr>
        <w:pageBreakBefore w:val="off"/>
        <w:tabs/>
        <w:wordWrap w:val="off"/>
        <w:spacing w:before="380" w:after="0" w:line="980" w:lineRule="atLeast"/>
        <w:ind w:left="0" w:right="0"/>
        <w:jc w:val="center"/>
        <w:textAlignment w:val="baseline"/>
        <w:rPr>
          <w:sz w:val="72"/>
        </w:rPr>
      </w:pPr>
      <w:bookmarkStart w:name="" w:id="1002"/>
      <w:r>
        <w:rPr>
          <w:rFonts w:ascii="黑体" w:hAnsi="黑体" w:cs="黑体" w:eastAsia="黑体"/>
          <w:sz w:val="72"/>
          <w:spacing w:val="0"/>
          <w:color w:val="000000"/>
          <w:b w:val="on"/>
          <w:i w:val="off"/>
        </w:rPr>
        <w:t>目</w:t>
      </w:r>
      <w:r>
        <w:rPr>
          <w:rFonts w:ascii="黑体" w:hAnsi="黑体" w:cs="黑体" w:eastAsia="黑体"/>
          <w:sz w:val="72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72"/>
          <w:spacing w:val="0"/>
          <w:color w:val="000000"/>
          <w:b w:val="on"/>
          <w:i w:val="off"/>
        </w:rPr>
        <w:t>录</w:t>
      </w:r>
      <w:bookmarkEnd w:id="100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60"/>
        <w:gridCol w:w="14680"/>
        <w:gridCol w:w="480"/>
      </w:tblGrid>
      <w:tr>
        <w:trPr>
          <w:trHeight w:hRule="atLeast" w:val="780"/>
        </w:trPr>
        <w:tc>
          <w:tcPr>
            <w:tcW w:w="1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0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1.总述</w:t>
            </w:r>
            <w:bookmarkEnd w:id="1003"/>
          </w:p>
        </w:tc>
        <w:tc>
          <w:tcPr>
            <w:tcW w:w="146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04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…………………………………………………………………</w:t>
            </w:r>
            <w:bookmarkEnd w:id="1004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0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1</w:t>
            </w:r>
            <w:bookmarkEnd w:id="100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0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0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00"/>
        <w:gridCol w:w="13680"/>
        <w:gridCol w:w="480"/>
      </w:tblGrid>
      <w:tr>
        <w:trPr>
          <w:trHeight w:hRule="atLeast" w:val="700"/>
        </w:trPr>
        <w:tc>
          <w:tcPr>
            <w:tcW w:w="2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0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2.适用范围</w:t>
            </w:r>
            <w:bookmarkEnd w:id="1007"/>
          </w:p>
        </w:tc>
        <w:tc>
          <w:tcPr>
            <w:tcW w:w="136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08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008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0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1</w:t>
            </w:r>
            <w:bookmarkEnd w:id="100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1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1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00"/>
        <w:gridCol w:w="13680"/>
        <w:gridCol w:w="480"/>
      </w:tblGrid>
      <w:tr>
        <w:trPr>
          <w:trHeight w:hRule="atLeast" w:val="720"/>
        </w:trPr>
        <w:tc>
          <w:tcPr>
            <w:tcW w:w="2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1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3.引用文件</w:t>
            </w:r>
            <w:bookmarkEnd w:id="1011"/>
          </w:p>
        </w:tc>
        <w:tc>
          <w:tcPr>
            <w:tcW w:w="136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12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012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1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1</w:t>
            </w:r>
            <w:bookmarkEnd w:id="101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1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1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00"/>
        <w:gridCol w:w="13700"/>
        <w:gridCol w:w="480"/>
      </w:tblGrid>
      <w:tr>
        <w:trPr>
          <w:trHeight w:hRule="atLeast" w:val="720"/>
        </w:trPr>
        <w:tc>
          <w:tcPr>
            <w:tcW w:w="2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1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4.职责分工</w:t>
            </w:r>
            <w:bookmarkEnd w:id="1015"/>
          </w:p>
        </w:tc>
        <w:tc>
          <w:tcPr>
            <w:tcW w:w="13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16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016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1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2</w:t>
            </w:r>
            <w:bookmarkEnd w:id="101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1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1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12600"/>
        <w:gridCol w:w="480"/>
      </w:tblGrid>
      <w:tr>
        <w:trPr>
          <w:trHeight w:hRule="atLeast" w:val="680"/>
        </w:trPr>
        <w:tc>
          <w:tcPr>
            <w:tcW w:w="3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1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4.1电网企业</w:t>
            </w:r>
            <w:bookmarkEnd w:id="1019"/>
          </w:p>
        </w:tc>
        <w:tc>
          <w:tcPr>
            <w:tcW w:w="12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20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020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2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2</w:t>
            </w:r>
            <w:bookmarkEnd w:id="102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2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2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12600"/>
        <w:gridCol w:w="480"/>
      </w:tblGrid>
      <w:tr>
        <w:trPr>
          <w:trHeight w:hRule="atLeast" w:val="720"/>
        </w:trPr>
        <w:tc>
          <w:tcPr>
            <w:tcW w:w="3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2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4.2发电企业</w:t>
            </w:r>
            <w:bookmarkEnd w:id="1023"/>
          </w:p>
        </w:tc>
        <w:tc>
          <w:tcPr>
            <w:tcW w:w="12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24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024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2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2</w:t>
            </w:r>
            <w:bookmarkEnd w:id="102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2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2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7680"/>
        <w:gridCol w:w="7920"/>
        <w:gridCol w:w="480"/>
      </w:tblGrid>
      <w:tr>
        <w:trPr>
          <w:trHeight w:hRule="atLeast" w:val="720"/>
        </w:trPr>
        <w:tc>
          <w:tcPr>
            <w:tcW w:w="76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2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4.3拥有配电网运营权的售电公司</w:t>
            </w:r>
            <w:bookmarkEnd w:id="1027"/>
          </w:p>
        </w:tc>
        <w:tc>
          <w:tcPr>
            <w:tcW w:w="79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28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</w:t>
            </w:r>
            <w:bookmarkEnd w:id="1028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2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3</w:t>
            </w:r>
            <w:bookmarkEnd w:id="102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3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3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220"/>
        <w:gridCol w:w="13160"/>
        <w:gridCol w:w="480"/>
      </w:tblGrid>
      <w:tr>
        <w:trPr>
          <w:trHeight w:hRule="atLeast" w:val="740"/>
        </w:trPr>
        <w:tc>
          <w:tcPr>
            <w:tcW w:w="32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3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5.计量点设置</w:t>
            </w:r>
            <w:bookmarkEnd w:id="1031"/>
          </w:p>
        </w:tc>
        <w:tc>
          <w:tcPr>
            <w:tcW w:w="13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32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032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3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3</w:t>
            </w:r>
            <w:bookmarkEnd w:id="103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3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3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600"/>
        <w:gridCol w:w="9980"/>
        <w:gridCol w:w="480"/>
      </w:tblGrid>
      <w:tr>
        <w:trPr>
          <w:trHeight w:hRule="atLeast" w:val="720"/>
        </w:trPr>
        <w:tc>
          <w:tcPr>
            <w:tcW w:w="5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3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5.1发电企业计量点设置</w:t>
            </w:r>
            <w:bookmarkEnd w:id="1035"/>
          </w:p>
        </w:tc>
        <w:tc>
          <w:tcPr>
            <w:tcW w:w="99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36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036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3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4</w:t>
            </w:r>
            <w:bookmarkEnd w:id="103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3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3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600"/>
        <w:gridCol w:w="10000"/>
        <w:gridCol w:w="480"/>
      </w:tblGrid>
      <w:tr>
        <w:trPr>
          <w:trHeight w:hRule="atLeast" w:val="680"/>
        </w:trPr>
        <w:tc>
          <w:tcPr>
            <w:tcW w:w="5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3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5.2独立储能计量点设置</w:t>
            </w:r>
            <w:bookmarkEnd w:id="1039"/>
          </w:p>
        </w:tc>
        <w:tc>
          <w:tcPr>
            <w:tcW w:w="10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40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040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4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4</w:t>
            </w:r>
            <w:bookmarkEnd w:id="104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4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4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340"/>
        <w:gridCol w:w="10000"/>
        <w:gridCol w:w="480"/>
      </w:tblGrid>
      <w:tr>
        <w:trPr>
          <w:trHeight w:hRule="atLeast" w:val="740"/>
        </w:trPr>
        <w:tc>
          <w:tcPr>
            <w:tcW w:w="63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4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6.电能计量及采集装置配置</w:t>
            </w:r>
            <w:bookmarkEnd w:id="1043"/>
          </w:p>
        </w:tc>
        <w:tc>
          <w:tcPr>
            <w:tcW w:w="10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44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044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4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4</w:t>
            </w:r>
            <w:bookmarkEnd w:id="104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4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4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060"/>
        <w:gridCol w:w="10500"/>
        <w:gridCol w:w="480"/>
      </w:tblGrid>
      <w:tr>
        <w:trPr>
          <w:trHeight w:hRule="atLeast" w:val="680"/>
        </w:trPr>
        <w:tc>
          <w:tcPr>
            <w:tcW w:w="5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4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6.1电能计量装置配置</w:t>
            </w:r>
            <w:bookmarkEnd w:id="1047"/>
          </w:p>
        </w:tc>
        <w:tc>
          <w:tcPr>
            <w:tcW w:w="10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48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048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4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4</w:t>
            </w:r>
            <w:bookmarkEnd w:id="104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5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5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060"/>
        <w:gridCol w:w="10500"/>
        <w:gridCol w:w="480"/>
      </w:tblGrid>
      <w:tr>
        <w:trPr>
          <w:trHeight w:hRule="atLeast" w:val="720"/>
        </w:trPr>
        <w:tc>
          <w:tcPr>
            <w:tcW w:w="5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5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6.2采集装置配置要求</w:t>
            </w:r>
            <w:bookmarkEnd w:id="1051"/>
          </w:p>
        </w:tc>
        <w:tc>
          <w:tcPr>
            <w:tcW w:w="105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52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052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5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6</w:t>
            </w:r>
            <w:bookmarkEnd w:id="105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5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5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820"/>
        <w:gridCol w:w="10560"/>
        <w:gridCol w:w="480"/>
      </w:tblGrid>
      <w:tr>
        <w:trPr>
          <w:trHeight w:hRule="atLeast" w:val="740"/>
        </w:trPr>
        <w:tc>
          <w:tcPr>
            <w:tcW w:w="58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5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7.电能计量装置运行管理</w:t>
            </w:r>
            <w:bookmarkEnd w:id="1055"/>
          </w:p>
        </w:tc>
        <w:tc>
          <w:tcPr>
            <w:tcW w:w="105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56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056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5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6</w:t>
            </w:r>
            <w:bookmarkEnd w:id="105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5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5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520"/>
        <w:gridCol w:w="12080"/>
        <w:gridCol w:w="480"/>
      </w:tblGrid>
      <w:tr>
        <w:trPr>
          <w:trHeight w:hRule="atLeast" w:val="680"/>
        </w:trPr>
        <w:tc>
          <w:tcPr>
            <w:tcW w:w="3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5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7.1投运前管理</w:t>
            </w:r>
            <w:bookmarkEnd w:id="1059"/>
          </w:p>
        </w:tc>
        <w:tc>
          <w:tcPr>
            <w:tcW w:w="120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60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060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6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6</w:t>
            </w:r>
            <w:bookmarkEnd w:id="106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6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6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40"/>
        <w:gridCol w:w="11560"/>
        <w:gridCol w:w="480"/>
      </w:tblGrid>
      <w:tr>
        <w:trPr>
          <w:trHeight w:hRule="atLeast" w:val="700"/>
        </w:trPr>
        <w:tc>
          <w:tcPr>
            <w:tcW w:w="4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6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7.2现场检验管理</w:t>
            </w:r>
            <w:bookmarkEnd w:id="1063"/>
          </w:p>
        </w:tc>
        <w:tc>
          <w:tcPr>
            <w:tcW w:w="115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64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64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6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6</w:t>
            </w:r>
            <w:bookmarkEnd w:id="106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6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6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40"/>
        <w:gridCol w:w="11560"/>
        <w:gridCol w:w="480"/>
      </w:tblGrid>
      <w:tr>
        <w:trPr>
          <w:trHeight w:hRule="atLeast" w:val="720"/>
        </w:trPr>
        <w:tc>
          <w:tcPr>
            <w:tcW w:w="4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6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7.3运行维护管理</w:t>
            </w:r>
            <w:bookmarkEnd w:id="1067"/>
          </w:p>
        </w:tc>
        <w:tc>
          <w:tcPr>
            <w:tcW w:w="115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68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68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6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7</w:t>
            </w:r>
            <w:bookmarkEnd w:id="106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7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7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060"/>
        <w:gridCol w:w="10520"/>
        <w:gridCol w:w="480"/>
      </w:tblGrid>
      <w:tr>
        <w:trPr>
          <w:trHeight w:hRule="atLeast" w:val="720"/>
        </w:trPr>
        <w:tc>
          <w:tcPr>
            <w:tcW w:w="5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7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7.4计量装置申校管理</w:t>
            </w:r>
            <w:bookmarkEnd w:id="1071"/>
          </w:p>
        </w:tc>
        <w:tc>
          <w:tcPr>
            <w:tcW w:w="10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72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072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7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7</w:t>
            </w:r>
            <w:bookmarkEnd w:id="107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7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7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780"/>
        <w:gridCol w:w="11600"/>
        <w:gridCol w:w="480"/>
      </w:tblGrid>
      <w:tr>
        <w:trPr>
          <w:trHeight w:hRule="atLeast" w:val="740"/>
        </w:trPr>
        <w:tc>
          <w:tcPr>
            <w:tcW w:w="4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7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8.计量数据采集管理</w:t>
            </w:r>
            <w:bookmarkEnd w:id="1075"/>
          </w:p>
        </w:tc>
        <w:tc>
          <w:tcPr>
            <w:tcW w:w="11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76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76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7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8</w:t>
            </w:r>
            <w:bookmarkEnd w:id="107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7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7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7160"/>
        <w:gridCol w:w="8420"/>
        <w:gridCol w:w="480"/>
      </w:tblGrid>
      <w:tr>
        <w:trPr>
          <w:trHeight w:hRule="atLeast" w:val="680"/>
        </w:trPr>
        <w:tc>
          <w:tcPr>
            <w:tcW w:w="71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7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8.1用电信息采集系统管理要求</w:t>
            </w:r>
            <w:bookmarkEnd w:id="1079"/>
          </w:p>
        </w:tc>
        <w:tc>
          <w:tcPr>
            <w:tcW w:w="84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80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</w:t>
            </w:r>
            <w:bookmarkEnd w:id="1080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8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8</w:t>
            </w:r>
            <w:bookmarkEnd w:id="108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8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8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060"/>
        <w:gridCol w:w="10520"/>
        <w:gridCol w:w="480"/>
      </w:tblGrid>
      <w:tr>
        <w:trPr>
          <w:trHeight w:hRule="atLeast" w:val="720"/>
        </w:trPr>
        <w:tc>
          <w:tcPr>
            <w:tcW w:w="5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8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8.2计量数据异常处理</w:t>
            </w:r>
            <w:bookmarkEnd w:id="1083"/>
          </w:p>
        </w:tc>
        <w:tc>
          <w:tcPr>
            <w:tcW w:w="10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84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</w:t>
            </w:r>
            <w:bookmarkEnd w:id="1084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8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8</w:t>
            </w:r>
            <w:bookmarkEnd w:id="108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8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8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740"/>
        <w:gridCol w:w="12640"/>
        <w:gridCol w:w="480"/>
      </w:tblGrid>
      <w:tr>
        <w:trPr>
          <w:trHeight w:hRule="atLeast" w:val="760"/>
        </w:trPr>
        <w:tc>
          <w:tcPr>
            <w:tcW w:w="3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8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9.数据拟合规则</w:t>
            </w:r>
            <w:bookmarkEnd w:id="1087"/>
          </w:p>
        </w:tc>
        <w:tc>
          <w:tcPr>
            <w:tcW w:w="126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88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088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9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8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9</w:t>
            </w:r>
            <w:bookmarkEnd w:id="108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9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90"/>
    </w:p>
    <w:p>
      <w:r>
        <w:t/>
      </w:r>
    </w:p>
    <w:p>
      <w:pPr>
        <w:sectPr>
          <w:footerReference r:id="rId7"/>
          <w:headerReference r:id="rId8" w:type="default"/>
          <w:type w:val="nextPage"/>
          <w:pgSz w:w="22400" w:h="31680"/>
          <w:pgMar w:left="2740" w:top="2700" w:right="2740" w:bottom="2700" w:header="2400" w:footer="2400"/>
          <w:cols w:num="1"/>
        </w:sectPr>
      </w:pPr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280"/>
        <w:gridCol w:w="5320"/>
        <w:gridCol w:w="480"/>
      </w:tblGrid>
      <w:tr>
        <w:trPr>
          <w:trHeight w:hRule="atLeast" w:val="800"/>
        </w:trPr>
        <w:tc>
          <w:tcPr>
            <w:tcW w:w="10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9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9.1以报量报价方式参与市场交易的经营主体</w:t>
            </w:r>
            <w:bookmarkEnd w:id="1091"/>
          </w:p>
        </w:tc>
        <w:tc>
          <w:tcPr>
            <w:tcW w:w="5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92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</w:t>
            </w:r>
            <w:bookmarkEnd w:id="1092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9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9</w:t>
            </w:r>
            <w:bookmarkEnd w:id="109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9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9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280"/>
        <w:gridCol w:w="5040"/>
        <w:gridCol w:w="760"/>
      </w:tblGrid>
      <w:tr>
        <w:trPr>
          <w:trHeight w:hRule="atLeast" w:val="760"/>
        </w:trPr>
        <w:tc>
          <w:tcPr>
            <w:tcW w:w="102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9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9.2报量不报价方式参与市场交易的经营主体</w:t>
            </w:r>
            <w:bookmarkEnd w:id="1095"/>
          </w:p>
        </w:tc>
        <w:tc>
          <w:tcPr>
            <w:tcW w:w="5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96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</w:t>
            </w:r>
            <w:bookmarkEnd w:id="1096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9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10</w:t>
            </w:r>
            <w:bookmarkEnd w:id="109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9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9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0800"/>
        <w:gridCol w:w="4520"/>
        <w:gridCol w:w="760"/>
      </w:tblGrid>
      <w:tr>
        <w:trPr>
          <w:trHeight w:hRule="atLeast" w:val="780"/>
        </w:trPr>
        <w:tc>
          <w:tcPr>
            <w:tcW w:w="108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9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9.3不报量不报价方式参与市场交易的经营主体</w:t>
            </w:r>
            <w:bookmarkEnd w:id="1099"/>
          </w:p>
        </w:tc>
        <w:tc>
          <w:tcPr>
            <w:tcW w:w="45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100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</w:t>
            </w:r>
            <w:bookmarkEnd w:id="1100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10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11</w:t>
            </w:r>
            <w:bookmarkEnd w:id="110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0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0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920"/>
        <w:gridCol w:w="14100"/>
        <w:gridCol w:w="760"/>
      </w:tblGrid>
      <w:tr>
        <w:trPr>
          <w:trHeight w:hRule="atLeast" w:val="740"/>
        </w:trPr>
        <w:tc>
          <w:tcPr>
            <w:tcW w:w="19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10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10.附则</w:t>
            </w:r>
            <w:bookmarkEnd w:id="1103"/>
          </w:p>
        </w:tc>
        <w:tc>
          <w:tcPr>
            <w:tcW w:w="141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104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104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0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10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20</w:t>
            </w:r>
            <w:bookmarkEnd w:id="110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10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106"/>
    </w:p>
    <w:p>
      <w:r>
        <w:t/>
      </w:r>
    </w:p>
    <w:p>
      <w:pPr>
        <w:sectPr>
          <w:footerReference r:id="rId9"/>
          <w:headerReference r:id="rId10" w:type="default"/>
          <w:type w:val="nextPage"/>
          <w:pgSz w:w="22400" w:h="31680"/>
          <w:pgMar w:left="2800" w:top="2700" w:right="2800" w:bottom="2700" w:header="2400" w:footer="2400"/>
          <w:cols w:num="1"/>
        </w:sectPr>
      </w:pPr>
    </w:p>
    <w:p>
      <w:pPr>
        <w:pageBreakBefore w:val="off"/>
        <w:tabs/>
        <w:wordWrap w:val="off"/>
        <w:spacing w:before="560" w:after="0" w:line="940" w:lineRule="atLeast"/>
        <w:ind w:left="1200" w:right="0"/>
        <w:jc w:val="both"/>
        <w:textAlignment w:val="baseline"/>
        <w:rPr>
          <w:sz w:val="70"/>
        </w:rPr>
      </w:pPr>
      <w:bookmarkStart w:name="" w:id="1107"/>
      <w:r>
        <w:rPr>
          <w:rFonts w:ascii="黑体" w:hAnsi="黑体" w:cs="黑体" w:eastAsia="黑体"/>
          <w:sz w:val="70"/>
          <w:spacing w:val="0"/>
          <w:color w:val="000000"/>
          <w:b w:val="on"/>
          <w:i w:val="off"/>
        </w:rPr>
        <w:t>1.总述</w:t>
      </w:r>
      <w:bookmarkEnd w:id="1107"/>
    </w:p>
    <w:p>
      <w:pPr>
        <w:pageBreakBefore w:val="off"/>
        <w:tabs/>
        <w:wordWrap w:val="off"/>
        <w:spacing w:before="0" w:after="0" w:line="1040" w:lineRule="atLeast"/>
        <w:ind w:left="20" w:right="0" w:firstLine="1180"/>
        <w:jc w:val="both"/>
        <w:textAlignment w:val="baseline"/>
        <w:rPr>
          <w:sz w:val="59"/>
        </w:rPr>
      </w:pPr>
      <w:bookmarkStart w:name="" w:id="110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为规范湖南电网用于市场交易、市场结算和考核的电能计量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装置运行管理工作，明确管理职责和范围，确保电能计量值的准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确统一和装置的安全可靠运行，促进我省电力市场有序开展，保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障经营主体合法权益，特制定本细则。</w:t>
      </w:r>
      <w:bookmarkEnd w:id="1108"/>
    </w:p>
    <w:p>
      <w:pPr>
        <w:pageBreakBefore w:val="off"/>
        <w:tabs/>
        <w:wordWrap w:val="off"/>
        <w:spacing w:before="0" w:after="0" w:line="960" w:lineRule="atLeast"/>
        <w:ind w:left="1200" w:right="0"/>
        <w:jc w:val="both"/>
        <w:textAlignment w:val="baseline"/>
        <w:rPr>
          <w:sz w:val="70"/>
        </w:rPr>
      </w:pPr>
      <w:bookmarkStart w:name="" w:id="1109"/>
      <w:r>
        <w:rPr>
          <w:rFonts w:ascii="黑体" w:hAnsi="黑体" w:cs="黑体" w:eastAsia="黑体"/>
          <w:sz w:val="70"/>
          <w:spacing w:val="0"/>
          <w:color w:val="000000"/>
          <w:b w:val="on"/>
          <w:i w:val="off"/>
        </w:rPr>
        <w:t>2.适用范围</w:t>
      </w:r>
      <w:bookmarkEnd w:id="1109"/>
    </w:p>
    <w:p>
      <w:pPr>
        <w:pageBreakBefore w:val="off"/>
        <w:tabs/>
        <w:wordWrap w:val="off"/>
        <w:spacing w:before="0" w:after="0" w:line="1040" w:lineRule="atLeast"/>
        <w:ind w:left="20" w:right="120" w:firstLine="1180"/>
        <w:jc w:val="both"/>
        <w:textAlignment w:val="baseline"/>
        <w:rPr>
          <w:sz w:val="59"/>
        </w:rPr>
      </w:pPr>
      <w:bookmarkStart w:name="" w:id="111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本细则适用于湖南省电力经营主体间电能计量装置的安装、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运行、维护、管理等。</w:t>
      </w:r>
      <w:bookmarkEnd w:id="1110"/>
    </w:p>
    <w:p>
      <w:pPr>
        <w:pageBreakBefore w:val="off"/>
        <w:tabs/>
        <w:wordWrap w:val="off"/>
        <w:spacing w:before="0" w:after="0" w:line="940" w:lineRule="atLeast"/>
        <w:ind w:left="1200" w:right="0"/>
        <w:jc w:val="both"/>
        <w:textAlignment w:val="baseline"/>
        <w:rPr>
          <w:sz w:val="70"/>
        </w:rPr>
      </w:pPr>
      <w:bookmarkStart w:name="" w:id="1111"/>
      <w:r>
        <w:rPr>
          <w:rFonts w:ascii="黑体" w:hAnsi="黑体" w:cs="黑体" w:eastAsia="黑体"/>
          <w:sz w:val="70"/>
          <w:spacing w:val="0"/>
          <w:color w:val="000000"/>
          <w:b w:val="on"/>
          <w:i w:val="off"/>
        </w:rPr>
        <w:t>3.引用文件</w:t>
      </w:r>
      <w:bookmarkEnd w:id="1111"/>
    </w:p>
    <w:p>
      <w:pPr>
        <w:pageBreakBefore w:val="off"/>
        <w:tabs/>
        <w:wordWrap w:val="off"/>
        <w:spacing w:before="0" w:after="0" w:line="1040" w:lineRule="atLeast"/>
        <w:ind w:left="20" w:right="0" w:firstLine="1400"/>
        <w:jc w:val="both"/>
        <w:textAlignment w:val="baseline"/>
        <w:rPr>
          <w:sz w:val="59"/>
        </w:rPr>
      </w:pPr>
      <w:bookmarkStart w:name="" w:id="111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《中华人民共和国电力法》(中华人民共和国主席令2018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年第23号)</w:t>
      </w:r>
      <w:bookmarkEnd w:id="1112"/>
    </w:p>
    <w:p>
      <w:pPr>
        <w:pageBreakBefore w:val="off"/>
        <w:tabs/>
        <w:wordWrap w:val="off"/>
        <w:spacing w:before="0" w:after="0" w:line="1040" w:lineRule="atLeast"/>
        <w:ind w:left="20" w:right="0" w:firstLine="1400"/>
        <w:jc w:val="both"/>
        <w:textAlignment w:val="baseline"/>
        <w:rPr>
          <w:sz w:val="59"/>
        </w:rPr>
      </w:pPr>
      <w:bookmarkStart w:name="" w:id="111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《中华人民共和国计量法》(中华人民共和国主席令2017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年第86号)</w:t>
      </w:r>
      <w:bookmarkEnd w:id="1113"/>
    </w:p>
    <w:p>
      <w:pPr>
        <w:pageBreakBefore w:val="off"/>
        <w:tabs/>
        <w:wordWrap w:val="off"/>
        <w:spacing w:before="0" w:after="0" w:line="1040" w:lineRule="atLeast"/>
        <w:ind w:left="20" w:right="60" w:firstLine="1400"/>
        <w:jc w:val="both"/>
        <w:textAlignment w:val="baseline"/>
        <w:rPr>
          <w:sz w:val="59"/>
        </w:rPr>
      </w:pPr>
      <w:bookmarkStart w:name="" w:id="111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《中华人民共和国电力供应与使用条例》(中华人民共和国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国务院令2016年第666号)</w:t>
      </w:r>
      <w:bookmarkEnd w:id="1114"/>
    </w:p>
    <w:p>
      <w:pPr>
        <w:pageBreakBefore w:val="off"/>
        <w:tabs/>
        <w:wordWrap w:val="off"/>
        <w:spacing w:before="0" w:after="0" w:line="1040" w:lineRule="atLeast"/>
        <w:ind w:left="20" w:right="0" w:firstLine="1400"/>
        <w:jc w:val="both"/>
        <w:textAlignment w:val="baseline"/>
        <w:rPr>
          <w:sz w:val="59"/>
        </w:rPr>
      </w:pPr>
      <w:bookmarkStart w:name="" w:id="111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《中华人民共和国计量法实施细则》(中华人民共和国国务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院令2022年第752号)</w:t>
      </w:r>
      <w:bookmarkEnd w:id="1115"/>
    </w:p>
    <w:p>
      <w:pPr>
        <w:pageBreakBefore w:val="off"/>
        <w:tabs/>
        <w:wordWrap w:val="off"/>
        <w:spacing w:before="0" w:after="0" w:line="1040" w:lineRule="atLeast"/>
        <w:ind w:left="20" w:right="0" w:firstLine="1400"/>
        <w:jc w:val="both"/>
        <w:textAlignment w:val="baseline"/>
        <w:rPr>
          <w:sz w:val="59"/>
        </w:rPr>
      </w:pPr>
      <w:bookmarkStart w:name="" w:id="111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《供电营业规则》(中华人民共和国国家发展和改革委员会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2024年第14号令)</w:t>
      </w:r>
      <w:bookmarkEnd w:id="1116"/>
    </w:p>
    <w:p>
      <w:pPr>
        <w:pageBreakBefore w:val="off"/>
        <w:tabs/>
        <w:wordWrap w:val="off"/>
        <w:spacing w:before="0" w:after="0" w:line="1040" w:lineRule="atLeast"/>
        <w:ind w:left="1420" w:right="0"/>
        <w:jc w:val="both"/>
        <w:textAlignment w:val="baseline"/>
        <w:rPr>
          <w:sz w:val="59"/>
        </w:rPr>
      </w:pPr>
      <w:bookmarkStart w:name="" w:id="111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《电能计量装置技术管理规程》(DL/T448-2016)</w:t>
      </w:r>
      <w:bookmarkEnd w:id="1117"/>
    </w:p>
    <w:p>
      <w:pPr>
        <w:pageBreakBefore w:val="off"/>
        <w:tabs/>
        <w:wordWrap w:val="off"/>
        <w:spacing w:before="0" w:after="0" w:line="1040" w:lineRule="atLeast"/>
        <w:ind w:left="20" w:right="0" w:firstLine="1400"/>
        <w:jc w:val="both"/>
        <w:textAlignment w:val="baseline"/>
        <w:rPr>
          <w:sz w:val="59"/>
        </w:rPr>
      </w:pPr>
      <w:bookmarkStart w:name="" w:id="111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《中华人民共和国民法典》(中华人民共和国国务院令2020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年第45号)</w:t>
      </w:r>
      <w:bookmarkEnd w:id="1118"/>
    </w:p>
    <w:p>
      <w:pPr>
        <w:pageBreakBefore w:val="off"/>
        <w:tabs/>
        <w:wordWrap w:val="off"/>
        <w:spacing w:before="0" w:after="0" w:line="1040" w:lineRule="atLeast"/>
        <w:ind w:left="20" w:right="80" w:firstLine="1400"/>
        <w:jc w:val="both"/>
        <w:textAlignment w:val="baseline"/>
        <w:rPr>
          <w:sz w:val="59"/>
        </w:rPr>
      </w:pPr>
      <w:bookmarkStart w:name="" w:id="111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《电力市场计量结算基本规则》(发改能源规〔2025〕976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号)</w:t>
      </w:r>
      <w:bookmarkEnd w:id="1119"/>
    </w:p>
    <w:p>
      <w:pPr>
        <w:pageBreakBefore w:val="off"/>
        <w:tabs/>
        <w:wordWrap w:val="off"/>
        <w:spacing w:before="820" w:after="0" w:line="680" w:lineRule="atLeast"/>
        <w:ind w:left="0" w:right="0"/>
        <w:jc w:val="center"/>
        <w:textAlignment w:val="baseline"/>
        <w:rPr>
          <w:sz w:val="50"/>
        </w:rPr>
      </w:pPr>
      <w:bookmarkStart w:name="" w:id="112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1</w:t>
      </w:r>
      <w:bookmarkEnd w:id="1120"/>
    </w:p>
    <w:p>
      <w:r>
        <w:t/>
      </w:r>
    </w:p>
    <w:p>
      <w:pPr>
        <w:sectPr>
          <w:footerReference r:id="rId11"/>
          <w:headerReference r:id="rId12" w:type="default"/>
          <w:type w:val="nextPage"/>
          <w:pgSz w:w="22400" w:h="31680"/>
          <w:pgMar w:left="2880" w:top="2260" w:right="2880" w:bottom="2260" w:header="1960" w:footer="1960"/>
          <w:cols w:num="1"/>
        </w:sectPr>
      </w:pPr>
    </w:p>
    <w:p>
      <w:pPr>
        <w:pageBreakBefore w:val="off"/>
        <w:tabs/>
        <w:wordWrap w:val="off"/>
        <w:spacing w:before="600" w:after="0" w:line="800" w:lineRule="atLeast"/>
        <w:ind w:left="1180" w:right="0"/>
        <w:jc w:val="both"/>
        <w:textAlignment w:val="baseline"/>
        <w:rPr>
          <w:sz w:val="60"/>
        </w:rPr>
      </w:pPr>
      <w:bookmarkStart w:name="" w:id="1121"/>
      <w:r>
        <w:rPr>
          <w:rFonts w:ascii="楷体" w:hAnsi="楷体" w:cs="楷体" w:eastAsia="楷体"/>
          <w:sz w:val="60"/>
          <w:spacing w:val="0"/>
          <w:color w:val="000000"/>
          <w:b w:val="on"/>
          <w:i w:val="off"/>
        </w:rPr>
        <w:t>4.职责分工</w:t>
      </w:r>
      <w:bookmarkEnd w:id="1121"/>
    </w:p>
    <w:p>
      <w:pPr>
        <w:pageBreakBefore w:val="off"/>
        <w:tabs/>
        <w:wordWrap w:val="off"/>
        <w:spacing w:before="0" w:after="0" w:line="1100" w:lineRule="atLeast"/>
        <w:ind w:left="0" w:right="0" w:firstLine="1260"/>
        <w:jc w:val="both"/>
        <w:textAlignment w:val="baseline"/>
        <w:rPr>
          <w:sz w:val="59"/>
        </w:rPr>
      </w:pPr>
      <w:bookmarkStart w:name="" w:id="112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电网企业(含地方电网，下同)、发电企业、拥有配电网运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营权的售电公司负责本企业所辖电能计量及采集装置的日常运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维。电网企业、拥有配电网运营权的售电公司应按照电力市场结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算要求定期将发电企业(机组)、省级电网之间、电力用户的电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量数据传送给市场运营机构，作为结算依据。</w:t>
      </w:r>
      <w:bookmarkEnd w:id="1122"/>
    </w:p>
    <w:p>
      <w:pPr>
        <w:pageBreakBefore w:val="off"/>
        <w:tabs/>
        <w:wordWrap w:val="off"/>
        <w:spacing w:before="0" w:after="0" w:line="800" w:lineRule="atLeast"/>
        <w:ind w:left="1180" w:right="0"/>
        <w:jc w:val="both"/>
        <w:textAlignment w:val="baseline"/>
        <w:rPr>
          <w:sz w:val="60"/>
        </w:rPr>
      </w:pPr>
      <w:bookmarkStart w:name="" w:id="1123"/>
      <w:r>
        <w:rPr>
          <w:rFonts w:ascii="楷体" w:hAnsi="楷体" w:cs="楷体" w:eastAsia="楷体"/>
          <w:sz w:val="60"/>
          <w:spacing w:val="0"/>
          <w:color w:val="000000"/>
          <w:b w:val="on"/>
          <w:i w:val="off"/>
        </w:rPr>
        <w:t>4.1电网企业</w:t>
      </w:r>
      <w:bookmarkEnd w:id="1123"/>
    </w:p>
    <w:p>
      <w:pPr>
        <w:pageBreakBefore w:val="off"/>
        <w:tabs/>
        <w:wordWrap w:val="off"/>
        <w:spacing w:before="0" w:after="0" w:line="1100" w:lineRule="atLeast"/>
        <w:ind w:left="0" w:right="0" w:firstLine="1440"/>
        <w:jc w:val="both"/>
        <w:textAlignment w:val="baseline"/>
        <w:rPr>
          <w:sz w:val="59"/>
        </w:rPr>
      </w:pPr>
      <w:bookmarkStart w:name="" w:id="112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(1)贯彻执行国家计量工作方针、政策、法规及行业管理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的有关规定；负责制订所辖电网电能计量管理的各项规章制度、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技术规范并督促实施。</w:t>
      </w:r>
      <w:bookmarkEnd w:id="1124"/>
    </w:p>
    <w:p>
      <w:pPr>
        <w:pageBreakBefore w:val="off"/>
        <w:tabs/>
        <w:wordWrap w:val="off"/>
        <w:spacing w:before="0" w:after="0" w:line="1100" w:lineRule="atLeast"/>
        <w:ind w:left="0" w:right="0" w:firstLine="1440"/>
        <w:jc w:val="both"/>
        <w:textAlignment w:val="baseline"/>
        <w:rPr>
          <w:sz w:val="59"/>
        </w:rPr>
      </w:pPr>
      <w:bookmarkStart w:name="" w:id="112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(2)组织对所辖电网内电力建设工程、发电厂并网、分布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式电源及增量配电网接入有关电能计量方式的确定、设计方案审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查、并网验收等工作。</w:t>
      </w:r>
      <w:bookmarkEnd w:id="1125"/>
    </w:p>
    <w:p>
      <w:pPr>
        <w:pageBreakBefore w:val="off"/>
        <w:tabs/>
        <w:wordWrap w:val="off"/>
        <w:spacing w:before="0" w:after="0" w:line="1100" w:lineRule="atLeast"/>
        <w:ind w:left="0" w:right="0" w:firstLine="1440"/>
        <w:jc w:val="both"/>
        <w:textAlignment w:val="baseline"/>
        <w:rPr>
          <w:sz w:val="59"/>
        </w:rPr>
      </w:pPr>
      <w:bookmarkStart w:name="" w:id="112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(3)组织开展电能计量器具的检定、修理和其他计量测试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工作；负责电能计量装置现场检验及抽检工作。</w:t>
      </w:r>
      <w:bookmarkEnd w:id="1126"/>
    </w:p>
    <w:p>
      <w:pPr>
        <w:pageBreakBefore w:val="off"/>
        <w:tabs/>
        <w:wordWrap w:val="off"/>
        <w:spacing w:before="0" w:after="0" w:line="1100" w:lineRule="atLeast"/>
        <w:ind w:left="1440" w:right="0"/>
        <w:jc w:val="both"/>
        <w:textAlignment w:val="baseline"/>
        <w:rPr>
          <w:sz w:val="59"/>
        </w:rPr>
      </w:pPr>
      <w:bookmarkStart w:name="" w:id="112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(4)负责用电信息采集系统的建设、运行与管理。</w:t>
      </w:r>
      <w:bookmarkEnd w:id="1127"/>
    </w:p>
    <w:p>
      <w:pPr>
        <w:pageBreakBefore w:val="off"/>
        <w:tabs/>
        <w:wordWrap w:val="off"/>
        <w:spacing w:before="0" w:after="0" w:line="1100" w:lineRule="atLeast"/>
        <w:ind w:left="0" w:right="20" w:firstLine="1440"/>
        <w:jc w:val="both"/>
        <w:textAlignment w:val="baseline"/>
        <w:rPr>
          <w:sz w:val="59"/>
        </w:rPr>
      </w:pPr>
      <w:bookmarkStart w:name="" w:id="112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(5)组织对所辖电网电能计量装置运行质量的监督、对电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量计量故障、差错和窃电案件的调查与处理。</w:t>
      </w:r>
      <w:bookmarkEnd w:id="1128"/>
    </w:p>
    <w:p>
      <w:pPr>
        <w:pageBreakBefore w:val="off"/>
        <w:tabs/>
        <w:wordWrap w:val="off"/>
        <w:spacing w:before="0" w:after="0" w:line="1100" w:lineRule="atLeast"/>
        <w:ind w:left="0" w:right="0" w:firstLine="1440"/>
        <w:jc w:val="both"/>
        <w:textAlignment w:val="baseline"/>
        <w:rPr>
          <w:sz w:val="59"/>
        </w:rPr>
      </w:pPr>
      <w:bookmarkStart w:name="" w:id="112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(6)依法依规提供相关市场信息，并承担保密义务；向市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场运营机构提供支撑现货市场交易和市场服务所需的相关数据，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保证数据交互的准确性和及时性。</w:t>
      </w:r>
      <w:bookmarkEnd w:id="1129"/>
    </w:p>
    <w:p>
      <w:pPr>
        <w:pageBreakBefore w:val="off"/>
        <w:tabs/>
        <w:wordWrap w:val="off"/>
        <w:spacing w:before="0" w:after="0" w:line="800" w:lineRule="atLeast"/>
        <w:ind w:left="1180" w:right="0"/>
        <w:jc w:val="both"/>
        <w:textAlignment w:val="baseline"/>
        <w:rPr>
          <w:sz w:val="60"/>
        </w:rPr>
      </w:pPr>
      <w:bookmarkStart w:name="" w:id="1130"/>
      <w:r>
        <w:rPr>
          <w:rFonts w:ascii="楷体" w:hAnsi="楷体" w:cs="楷体" w:eastAsia="楷体"/>
          <w:sz w:val="60"/>
          <w:spacing w:val="0"/>
          <w:color w:val="000000"/>
          <w:b w:val="on"/>
          <w:i w:val="off"/>
        </w:rPr>
        <w:t>4.2发电企业</w:t>
      </w:r>
      <w:bookmarkEnd w:id="1130"/>
    </w:p>
    <w:p>
      <w:pPr>
        <w:pageBreakBefore w:val="off"/>
        <w:tabs/>
        <w:wordWrap w:val="off"/>
        <w:spacing w:before="0" w:after="0" w:line="1100" w:lineRule="atLeast"/>
        <w:ind w:left="1440" w:right="0"/>
        <w:jc w:val="both"/>
        <w:textAlignment w:val="baseline"/>
        <w:rPr>
          <w:sz w:val="59"/>
        </w:rPr>
      </w:pPr>
      <w:bookmarkStart w:name="" w:id="113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(1)发电企业应负责本企业电能计量装置的适应性改造和</w:t>
      </w:r>
      <w:bookmarkEnd w:id="1131"/>
    </w:p>
    <w:p>
      <w:pPr>
        <w:pageBreakBefore w:val="off"/>
        <w:tabs/>
        <w:wordWrap w:val="off"/>
        <w:spacing w:before="0" w:after="0" w:line="1120" w:lineRule="exact"/>
        <w:ind w:left="0" w:right="0"/>
        <w:jc w:val="both"/>
        <w:textAlignment w:val="baseline"/>
        <w:rPr>
          <w:sz w:val="59"/>
        </w:rPr>
      </w:pPr>
      <w:bookmarkStart w:name="" w:id="1132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132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113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2</w:t>
      </w:r>
      <w:bookmarkEnd w:id="1133"/>
    </w:p>
    <w:p>
      <w:r>
        <w:t/>
      </w:r>
    </w:p>
    <w:p>
      <w:pPr>
        <w:sectPr>
          <w:footerReference r:id="rId13"/>
          <w:headerReference r:id="rId14" w:type="default"/>
          <w:type w:val="nextPage"/>
          <w:pgSz w:w="22400" w:h="31680"/>
          <w:pgMar w:left="2900" w:top="2240" w:right="2900" w:bottom="2240" w:header="1940" w:footer="1940"/>
          <w:cols w:num="1"/>
        </w:sectPr>
      </w:pPr>
    </w:p>
    <w:p>
      <w:pPr>
        <w:pageBreakBefore w:val="off"/>
        <w:tabs/>
        <w:wordWrap w:val="off"/>
        <w:spacing w:before="620" w:after="0" w:line="1080" w:lineRule="atLeast"/>
        <w:ind w:left="0" w:right="0"/>
        <w:jc w:val="both"/>
        <w:textAlignment w:val="baseline"/>
        <w:rPr>
          <w:sz w:val="58"/>
        </w:rPr>
      </w:pPr>
      <w:bookmarkStart w:name="" w:id="113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管理工作。</w:t>
      </w:r>
      <w:bookmarkEnd w:id="1134"/>
    </w:p>
    <w:p>
      <w:pPr>
        <w:pageBreakBefore w:val="off"/>
        <w:tabs/>
        <w:wordWrap w:val="off"/>
        <w:spacing w:before="0" w:after="0" w:line="1080" w:lineRule="atLeast"/>
        <w:ind w:left="0" w:right="20" w:firstLine="1420"/>
        <w:jc w:val="both"/>
        <w:textAlignment w:val="baseline"/>
        <w:rPr>
          <w:sz w:val="58"/>
        </w:rPr>
      </w:pPr>
      <w:bookmarkStart w:name="" w:id="113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(2)执行国家计量工作方针、政策、法规及行业管理有关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规定，执行本企业电能计量的各项规章制度。</w:t>
      </w:r>
      <w:bookmarkEnd w:id="1135"/>
    </w:p>
    <w:p>
      <w:pPr>
        <w:pageBreakBefore w:val="off"/>
        <w:tabs/>
        <w:wordWrap w:val="off"/>
        <w:spacing w:before="0" w:after="0" w:line="1080" w:lineRule="atLeast"/>
        <w:ind w:left="0" w:right="40" w:firstLine="1420"/>
        <w:jc w:val="both"/>
        <w:textAlignment w:val="baseline"/>
        <w:rPr>
          <w:sz w:val="58"/>
        </w:rPr>
      </w:pPr>
      <w:bookmarkStart w:name="" w:id="113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(3)配合电网企业做好与本企业有关的交易结算所使用电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能计量装置的验收、现场检验、接入用电信息采集系统等工作，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并做好计量装置的日常运行维护和故障处理。</w:t>
      </w:r>
      <w:bookmarkEnd w:id="1136"/>
    </w:p>
    <w:p>
      <w:pPr>
        <w:pageBreakBefore w:val="off"/>
        <w:tabs/>
        <w:wordWrap w:val="off"/>
        <w:spacing w:before="0" w:after="0" w:line="840" w:lineRule="atLeast"/>
        <w:ind w:left="1180" w:right="0"/>
        <w:jc w:val="both"/>
        <w:textAlignment w:val="baseline"/>
        <w:rPr>
          <w:sz w:val="60"/>
        </w:rPr>
      </w:pPr>
      <w:bookmarkStart w:name="" w:id="1137"/>
      <w:r>
        <w:rPr>
          <w:rFonts w:ascii="楷体" w:hAnsi="楷体" w:cs="楷体" w:eastAsia="楷体"/>
          <w:sz w:val="60"/>
          <w:spacing w:val="0"/>
          <w:color w:val="000000"/>
          <w:b w:val="on"/>
          <w:i w:val="off"/>
        </w:rPr>
        <w:t>4.3拥有配电网运营权的售电公司</w:t>
      </w:r>
      <w:bookmarkEnd w:id="1137"/>
    </w:p>
    <w:p>
      <w:pPr>
        <w:pageBreakBefore w:val="off"/>
        <w:tabs/>
        <w:wordWrap w:val="off"/>
        <w:spacing w:before="0" w:after="0" w:line="1080" w:lineRule="atLeast"/>
        <w:ind w:left="0" w:right="80" w:firstLine="1420"/>
        <w:jc w:val="both"/>
        <w:textAlignment w:val="baseline"/>
        <w:rPr>
          <w:sz w:val="58"/>
        </w:rPr>
      </w:pPr>
      <w:bookmarkStart w:name="" w:id="113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(1)拥有配电网运营权的售电公司应负责本企业所辖用户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电能计量装置的适应性改造和管理工作。</w:t>
      </w:r>
      <w:bookmarkEnd w:id="1138"/>
    </w:p>
    <w:p>
      <w:pPr>
        <w:pageBreakBefore w:val="off"/>
        <w:tabs/>
        <w:wordWrap w:val="off"/>
        <w:spacing w:before="0" w:after="0" w:line="1080" w:lineRule="atLeast"/>
        <w:ind w:left="0" w:right="20" w:firstLine="1420"/>
        <w:jc w:val="both"/>
        <w:textAlignment w:val="baseline"/>
        <w:rPr>
          <w:sz w:val="58"/>
        </w:rPr>
      </w:pPr>
      <w:bookmarkStart w:name="" w:id="113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(2)执行国家计量工作方针、政策、法规及行业管理有关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规定，执行本企业电能计量的各项规章制度。</w:t>
      </w:r>
      <w:bookmarkEnd w:id="1139"/>
    </w:p>
    <w:p>
      <w:pPr>
        <w:pageBreakBefore w:val="off"/>
        <w:tabs/>
        <w:wordWrap w:val="off"/>
        <w:spacing w:before="0" w:after="0" w:line="1080" w:lineRule="atLeast"/>
        <w:ind w:left="0" w:right="40" w:firstLine="1420"/>
        <w:jc w:val="both"/>
        <w:textAlignment w:val="baseline"/>
        <w:rPr>
          <w:sz w:val="58"/>
        </w:rPr>
      </w:pPr>
      <w:bookmarkStart w:name="" w:id="114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(3)配合电网企业做好与本企业有关的交易结算所使用电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能计量装置的验收、现场检验、接入用电信息采集系统等工作，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并做好计量装置的日常运行维护和故障处理。</w:t>
      </w:r>
      <w:bookmarkEnd w:id="1140"/>
    </w:p>
    <w:p>
      <w:pPr>
        <w:pageBreakBefore w:val="off"/>
        <w:tabs/>
        <w:wordWrap w:val="off"/>
        <w:spacing w:before="0" w:after="0" w:line="1080" w:lineRule="atLeast"/>
        <w:ind w:left="0" w:right="0" w:firstLine="1420"/>
        <w:jc w:val="both"/>
        <w:textAlignment w:val="baseline"/>
        <w:rPr>
          <w:sz w:val="58"/>
        </w:rPr>
      </w:pPr>
      <w:bookmarkStart w:name="" w:id="114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(4)已经接入电网企业用电信息采集系统的按照原方式采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集，未接入的应建立本公司的用电信息采集系统，并支持将电量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数据传输至电力交易平台，相关要求参照8.1执行。</w:t>
      </w:r>
      <w:bookmarkEnd w:id="1141"/>
    </w:p>
    <w:p>
      <w:pPr>
        <w:pageBreakBefore w:val="off"/>
        <w:tabs/>
        <w:wordWrap w:val="off"/>
        <w:spacing w:before="0" w:after="0" w:line="880" w:lineRule="atLeast"/>
        <w:ind w:left="1180" w:right="0"/>
        <w:jc w:val="both"/>
        <w:textAlignment w:val="baseline"/>
        <w:rPr>
          <w:sz w:val="60"/>
        </w:rPr>
      </w:pPr>
      <w:bookmarkStart w:name="" w:id="1142"/>
      <w:r>
        <w:rPr>
          <w:rFonts w:ascii="楷体" w:hAnsi="楷体" w:cs="楷体" w:eastAsia="楷体"/>
          <w:sz w:val="60"/>
          <w:spacing w:val="0"/>
          <w:color w:val="000000"/>
          <w:b w:val="on"/>
          <w:i w:val="off"/>
        </w:rPr>
        <w:t>5.计量点设置</w:t>
      </w:r>
      <w:bookmarkEnd w:id="1142"/>
    </w:p>
    <w:p>
      <w:pPr>
        <w:pageBreakBefore w:val="off"/>
        <w:tabs/>
        <w:wordWrap w:val="off"/>
        <w:spacing w:before="0" w:after="0" w:line="1080" w:lineRule="atLeast"/>
        <w:ind w:left="0" w:right="0" w:firstLine="1260"/>
        <w:jc w:val="both"/>
        <w:textAlignment w:val="baseline"/>
        <w:rPr>
          <w:sz w:val="58"/>
        </w:rPr>
      </w:pPr>
      <w:bookmarkStart w:name="" w:id="114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电网企业根据经营主体的申请，在产权分界点处设置电能计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量点，作为市场交易结算计量点。计量点设置需满足电力市场结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算最小结算单元相关要求。产权分界点无法安装计量装置的，电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网企业应在与经营主体协商明确计量装置安装位置后，依法确定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相应的变(线)损，参与结算的关口计量点应在购售电合同、供</w:t>
      </w:r>
      <w:bookmarkEnd w:id="1143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8"/>
        </w:rPr>
      </w:pPr>
      <w:bookmarkStart w:name="" w:id="114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144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3"/>
        </w:rPr>
      </w:pPr>
      <w:bookmarkStart w:name="" w:id="1145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3</w:t>
      </w:r>
      <w:bookmarkEnd w:id="1145"/>
    </w:p>
    <w:p>
      <w:r>
        <w:t/>
      </w:r>
    </w:p>
    <w:p>
      <w:pPr>
        <w:sectPr>
          <w:footerReference r:id="rId15"/>
          <w:headerReference r:id="rId16" w:type="default"/>
          <w:type w:val="nextPage"/>
          <w:pgSz w:w="22400" w:h="31680"/>
          <w:pgMar w:left="2900" w:top="2240" w:right="2900" w:bottom="2240" w:header="1940" w:footer="1940"/>
          <w:cols w:num="1"/>
        </w:sectPr>
      </w:pPr>
    </w:p>
    <w:p>
      <w:pPr>
        <w:pageBreakBefore w:val="off"/>
        <w:tabs/>
        <w:wordWrap w:val="off"/>
        <w:spacing w:before="580" w:after="0" w:line="1060" w:lineRule="atLeast"/>
        <w:ind w:left="0" w:right="0"/>
        <w:jc w:val="both"/>
        <w:textAlignment w:val="baseline"/>
        <w:rPr>
          <w:sz w:val="58"/>
        </w:rPr>
      </w:pPr>
      <w:bookmarkStart w:name="" w:id="114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用电合同等合同中予以明确。除上述基本原则外，部分经营主体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计量点设置的特殊要求如下：</w:t>
      </w:r>
      <w:bookmarkEnd w:id="1146"/>
    </w:p>
    <w:p>
      <w:pPr>
        <w:pageBreakBefore w:val="off"/>
        <w:tabs/>
        <w:wordWrap w:val="off"/>
        <w:spacing w:before="0" w:after="0" w:line="800" w:lineRule="atLeast"/>
        <w:ind w:left="1180" w:right="0"/>
        <w:jc w:val="both"/>
        <w:textAlignment w:val="baseline"/>
        <w:rPr>
          <w:sz w:val="59"/>
        </w:rPr>
      </w:pPr>
      <w:bookmarkStart w:name="" w:id="1147"/>
      <w:r>
        <w:rPr>
          <w:rFonts w:ascii="楷体" w:hAnsi="楷体" w:cs="楷体" w:eastAsia="楷体"/>
          <w:sz w:val="59"/>
          <w:spacing w:val="0"/>
          <w:color w:val="000000"/>
          <w:b w:val="on"/>
          <w:i w:val="off"/>
        </w:rPr>
        <w:t>5.1发电企业计量点设置</w:t>
      </w:r>
      <w:bookmarkEnd w:id="1147"/>
    </w:p>
    <w:p>
      <w:pPr>
        <w:pageBreakBefore w:val="off"/>
        <w:tabs/>
        <w:wordWrap w:val="off"/>
        <w:spacing w:before="0" w:after="0" w:line="1060" w:lineRule="atLeast"/>
        <w:ind w:left="0" w:right="0" w:firstLine="1220"/>
        <w:jc w:val="both"/>
        <w:textAlignment w:val="baseline"/>
        <w:rPr>
          <w:sz w:val="58"/>
        </w:rPr>
      </w:pPr>
      <w:bookmarkStart w:name="" w:id="114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为实现机组电量计量，对于参与市场交易的发电企业应增设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考核计量点，并满足以下要求：</w:t>
      </w:r>
      <w:bookmarkEnd w:id="1148"/>
    </w:p>
    <w:p>
      <w:pPr>
        <w:pageBreakBefore w:val="off"/>
        <w:tabs/>
        <w:wordWrap w:val="off"/>
        <w:spacing w:before="0" w:after="0" w:line="1060" w:lineRule="atLeast"/>
        <w:ind w:left="0" w:right="0" w:firstLine="1440"/>
        <w:jc w:val="both"/>
        <w:textAlignment w:val="baseline"/>
        <w:rPr>
          <w:sz w:val="58"/>
        </w:rPr>
      </w:pPr>
      <w:bookmarkStart w:name="" w:id="114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(1)燃煤、燃气机组在主变高压侧增加设置考核计量点作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为分机组电量计量点，机组单机上网电量按分机组电量计量点所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计电量占贸易结算电量的比例计算。</w:t>
      </w:r>
      <w:bookmarkEnd w:id="1149"/>
    </w:p>
    <w:p>
      <w:pPr>
        <w:pageBreakBefore w:val="off"/>
        <w:tabs/>
        <w:wordWrap w:val="off"/>
        <w:spacing w:before="0" w:after="0" w:line="1060" w:lineRule="atLeast"/>
        <w:ind w:left="0" w:right="0" w:firstLine="1440"/>
        <w:jc w:val="both"/>
        <w:textAlignment w:val="baseline"/>
        <w:rPr>
          <w:sz w:val="58"/>
        </w:rPr>
      </w:pPr>
      <w:bookmarkStart w:name="" w:id="115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(2)风电、光伏发电按照项目分期增加设置考核计量点作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为分期电量计量点，单期上网电量按计量表计直接计量电量或按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分期电量计量点所计量电量占贸易结算电量的比例计算。</w:t>
      </w:r>
      <w:bookmarkEnd w:id="1150"/>
    </w:p>
    <w:p>
      <w:pPr>
        <w:pageBreakBefore w:val="off"/>
        <w:tabs/>
        <w:wordWrap w:val="off"/>
        <w:spacing w:before="0" w:after="0" w:line="1060" w:lineRule="atLeast"/>
        <w:ind w:left="0" w:right="0" w:firstLine="1440"/>
        <w:jc w:val="both"/>
        <w:textAlignment w:val="baseline"/>
        <w:rPr>
          <w:sz w:val="58"/>
        </w:rPr>
      </w:pPr>
      <w:bookmarkStart w:name="" w:id="115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(3)原则上应在分期电量计量点安装计量装置，如改造过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渡期分期电量计量点未安装计量装置的，单期上网电量按照额定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装机容量比例进行分摊。</w:t>
      </w:r>
      <w:bookmarkEnd w:id="1151"/>
    </w:p>
    <w:p>
      <w:pPr>
        <w:pageBreakBefore w:val="off"/>
        <w:tabs/>
        <w:wordWrap w:val="off"/>
        <w:spacing w:before="0" w:after="0" w:line="800" w:lineRule="atLeast"/>
        <w:ind w:left="1180" w:right="0"/>
        <w:jc w:val="both"/>
        <w:textAlignment w:val="baseline"/>
        <w:rPr>
          <w:sz w:val="59"/>
        </w:rPr>
      </w:pPr>
      <w:bookmarkStart w:name="" w:id="1152"/>
      <w:r>
        <w:rPr>
          <w:rFonts w:ascii="楷体" w:hAnsi="楷体" w:cs="楷体" w:eastAsia="楷体"/>
          <w:sz w:val="59"/>
          <w:spacing w:val="0"/>
          <w:color w:val="000000"/>
          <w:b w:val="on"/>
          <w:i w:val="off"/>
        </w:rPr>
        <w:t>5.2独立储能计量点设置</w:t>
      </w:r>
      <w:bookmarkEnd w:id="1152"/>
    </w:p>
    <w:p>
      <w:pPr>
        <w:pageBreakBefore w:val="off"/>
        <w:tabs/>
        <w:wordWrap w:val="off"/>
        <w:spacing w:before="0" w:after="0" w:line="1060" w:lineRule="atLeast"/>
        <w:ind w:left="0" w:right="60" w:firstLine="1220"/>
        <w:jc w:val="both"/>
        <w:textAlignment w:val="baseline"/>
        <w:rPr>
          <w:sz w:val="58"/>
        </w:rPr>
      </w:pPr>
      <w:bookmarkStart w:name="" w:id="115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独立储能电站全部站用负荷(站用电由照明、空调、风机、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水泵、二次及通信设备、操作辅助电源等六部分负荷组成)应由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站用变供电，并应在站用变设置计量点，具备单独计量条件。</w:t>
      </w:r>
      <w:bookmarkEnd w:id="1153"/>
    </w:p>
    <w:p>
      <w:pPr>
        <w:pageBreakBefore w:val="off"/>
        <w:tabs/>
        <w:wordWrap w:val="off"/>
        <w:spacing w:before="0" w:after="0" w:line="800" w:lineRule="atLeast"/>
        <w:ind w:left="1180" w:right="0" w:firstLine="40"/>
        <w:jc w:val="both"/>
        <w:textAlignment w:val="baseline"/>
        <w:rPr>
          <w:sz w:val="59"/>
        </w:rPr>
      </w:pPr>
      <w:bookmarkStart w:name="" w:id="1154"/>
      <w:r>
        <w:rPr>
          <w:rFonts w:ascii="楷体" w:hAnsi="楷体" w:cs="楷体" w:eastAsia="楷体"/>
          <w:sz w:val="59"/>
          <w:spacing w:val="0"/>
          <w:color w:val="000000"/>
          <w:b w:val="on"/>
          <w:i w:val="off"/>
        </w:rPr>
        <w:t>6.电能计量及采集装置配置</w:t>
      </w:r>
      <w:bookmarkEnd w:id="1154"/>
    </w:p>
    <w:p>
      <w:pPr>
        <w:pageBreakBefore w:val="off"/>
        <w:tabs/>
        <w:wordWrap w:val="off"/>
        <w:spacing w:before="320" w:after="0" w:line="800" w:lineRule="atLeast"/>
        <w:ind w:left="1220" w:right="0"/>
        <w:jc w:val="both"/>
        <w:textAlignment w:val="baseline"/>
        <w:rPr>
          <w:sz w:val="59"/>
        </w:rPr>
      </w:pPr>
      <w:bookmarkStart w:name="" w:id="1155"/>
      <w:r>
        <w:rPr>
          <w:rFonts w:ascii="楷体" w:hAnsi="楷体" w:cs="楷体" w:eastAsia="楷体"/>
          <w:sz w:val="59"/>
          <w:spacing w:val="0"/>
          <w:color w:val="000000"/>
          <w:b w:val="on"/>
          <w:i w:val="off"/>
        </w:rPr>
        <w:t>6.1电能计量装置配置</w:t>
      </w:r>
      <w:bookmarkEnd w:id="1155"/>
    </w:p>
    <w:p>
      <w:pPr>
        <w:pageBreakBefore w:val="off"/>
        <w:tabs/>
        <w:wordWrap w:val="off"/>
        <w:spacing w:before="0" w:after="0" w:line="1060" w:lineRule="atLeast"/>
        <w:ind w:left="0" w:right="0" w:firstLine="1220"/>
        <w:jc w:val="both"/>
        <w:textAlignment w:val="baseline"/>
        <w:rPr>
          <w:sz w:val="58"/>
        </w:rPr>
      </w:pPr>
      <w:bookmarkStart w:name="" w:id="115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结算计量点应按照管理规程要求配置一套相应准确度等级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的电能计量装置，电能计量装置参照《电能计量装置技术管理规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程》(DL/T448-2016)进行配置。冻结内容及标识应符合《多功</w:t>
      </w:r>
      <w:bookmarkEnd w:id="1156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8"/>
        </w:rPr>
      </w:pPr>
      <w:bookmarkStart w:name="" w:id="1157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157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1158"/>
      <w:r>
        <w:rPr>
          <w:rFonts w:ascii="黑体" w:hAnsi="黑体" w:cs="黑体" w:eastAsia="黑体"/>
          <w:sz w:val="52"/>
          <w:spacing w:val="0"/>
          <w:color w:val="000000"/>
          <w:b w:val="off"/>
          <w:i w:val="off"/>
        </w:rPr>
        <w:t>4</w:t>
      </w:r>
      <w:bookmarkEnd w:id="1158"/>
    </w:p>
    <w:p>
      <w:r>
        <w:t/>
      </w:r>
    </w:p>
    <w:p>
      <w:pPr>
        <w:sectPr>
          <w:footerReference r:id="rId17"/>
          <w:headerReference r:id="rId18" w:type="default"/>
          <w:type w:val="nextPage"/>
          <w:pgSz w:w="22400" w:h="31680"/>
          <w:pgMar w:left="2880" w:top="2260" w:right="2880" w:bottom="2260" w:header="1960" w:footer="1960"/>
          <w:cols w:num="1"/>
        </w:sectPr>
      </w:pPr>
    </w:p>
    <w:p>
      <w:pPr>
        <w:pageBreakBefore w:val="off"/>
        <w:tabs/>
        <w:wordWrap w:val="off"/>
        <w:spacing w:before="580" w:after="0" w:line="1200" w:lineRule="atLeast"/>
        <w:ind w:left="0" w:right="0"/>
        <w:jc w:val="both"/>
        <w:textAlignment w:val="baseline"/>
        <w:rPr>
          <w:sz w:val="61"/>
        </w:rPr>
      </w:pPr>
      <w:bookmarkStart w:name="" w:id="1159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能电能表通信协议》(DL/T645-2007)及其备案文件或《面向对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象的用电信息数据交换协议》(DL/T698.45-2017) 及其扩展协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议要求。按计量对象重要程度和管理需要分为五类，分类细则如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下表。</w:t>
      </w:r>
      <w:bookmarkEnd w:id="1159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61"/>
        </w:rPr>
      </w:pPr>
      <w:bookmarkStart w:name="" w:id="1160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表1电能计量装置分类细则</w:t>
      </w:r>
      <w:bookmarkEnd w:id="1160"/>
    </w:p>
    <w:tbl>
      <w:tblPr>
        <w:tblW w:w="0" w:type="auto"/>
        <w:jc w:val="start"/>
        <w:tblInd w:type="dxa" w:w="1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940"/>
        <w:gridCol w:w="14420"/>
      </w:tblGrid>
      <w:tr>
        <w:trPr>
          <w:trHeight w:hRule="atLeast" w:val="900"/>
        </w:trPr>
        <w:tc>
          <w:tcPr>
            <w:tcW w:w="194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center"/>
              <w:textAlignment w:val="baseline"/>
              <w:rPr>
                <w:sz w:val="40"/>
              </w:rPr>
            </w:pPr>
            <w:bookmarkStart w:name="" w:id="1161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n"/>
                <w:i w:val="off"/>
              </w:rPr>
              <w:t>类型</w:t>
            </w:r>
            <w:bookmarkEnd w:id="1161"/>
          </w:p>
        </w:tc>
        <w:tc>
          <w:tcPr>
            <w:tcW w:w="1442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center"/>
              <w:textAlignment w:val="baseline"/>
              <w:rPr>
                <w:sz w:val="40"/>
              </w:rPr>
            </w:pPr>
            <w:bookmarkStart w:name="" w:id="1162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n"/>
                <w:i w:val="off"/>
              </w:rPr>
              <w:t>分类要求</w:t>
            </w:r>
            <w:bookmarkEnd w:id="1162"/>
          </w:p>
        </w:tc>
      </w:tr>
      <w:tr>
        <w:trPr>
          <w:trHeight w:hRule="atLeast" w:val="2620"/>
        </w:trPr>
        <w:tc>
          <w:tcPr>
            <w:tcW w:w="19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center"/>
              <w:textAlignment w:val="baseline"/>
              <w:rPr>
                <w:sz w:val="40"/>
              </w:rPr>
            </w:pPr>
            <w:bookmarkStart w:name="" w:id="1163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Ⅰ类</w:t>
            </w:r>
            <w:bookmarkEnd w:id="1163"/>
          </w:p>
        </w:tc>
        <w:tc>
          <w:tcPr>
            <w:tcW w:w="144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164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220kV及以上贸易结算用电能计量装置</w:t>
            </w:r>
            <w:bookmarkEnd w:id="1164"/>
          </w:p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165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500kV及以上考核用电能计量装置</w:t>
            </w:r>
            <w:bookmarkEnd w:id="1165"/>
          </w:p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166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计量单机容量300MW及以上发电机发电量的电能计量装置</w:t>
            </w:r>
            <w:bookmarkEnd w:id="1166"/>
          </w:p>
        </w:tc>
      </w:tr>
      <w:tr>
        <w:trPr>
          <w:trHeight w:hRule="atLeast" w:val="2620"/>
        </w:trPr>
        <w:tc>
          <w:tcPr>
            <w:tcW w:w="19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center"/>
              <w:textAlignment w:val="baseline"/>
              <w:rPr>
                <w:sz w:val="40"/>
              </w:rPr>
            </w:pPr>
            <w:bookmarkStart w:name="" w:id="1167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Ⅱ类</w:t>
            </w:r>
            <w:bookmarkEnd w:id="1167"/>
          </w:p>
        </w:tc>
        <w:tc>
          <w:tcPr>
            <w:tcW w:w="144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168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110(66)kV~220kV 贸易结算用电能计量装置</w:t>
            </w:r>
            <w:bookmarkEnd w:id="1168"/>
          </w:p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169"/>
            <w:r>
              <w:rPr>
                <w:rFonts w:ascii="楷体" w:hAnsi="楷体" w:cs="楷体" w:eastAsia="楷体"/>
                <w:sz w:val="40"/>
                <w:spacing w:val="0"/>
                <w:color w:val="000000"/>
                <w:b w:val="off"/>
                <w:i w:val="off"/>
              </w:rPr>
              <w:t>220kV~500kV 考核用电能计量装置</w:t>
            </w:r>
            <w:bookmarkEnd w:id="1169"/>
          </w:p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170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计量单机容量100MW~300MW及以上发电机发电量的电能计量装置</w:t>
            </w:r>
            <w:bookmarkEnd w:id="1170"/>
          </w:p>
        </w:tc>
      </w:tr>
      <w:tr>
        <w:trPr>
          <w:trHeight w:hRule="atLeast" w:val="2600"/>
        </w:trPr>
        <w:tc>
          <w:tcPr>
            <w:tcW w:w="19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center"/>
              <w:textAlignment w:val="baseline"/>
              <w:rPr>
                <w:sz w:val="40"/>
              </w:rPr>
            </w:pPr>
            <w:bookmarkStart w:name="" w:id="1171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Ⅲ类</w:t>
            </w:r>
            <w:bookmarkEnd w:id="1171"/>
          </w:p>
        </w:tc>
        <w:tc>
          <w:tcPr>
            <w:tcW w:w="144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172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10kV~110(66)kV贸易结算用电能计量装置</w:t>
            </w:r>
            <w:bookmarkEnd w:id="1172"/>
          </w:p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173"/>
            <w:r>
              <w:rPr>
                <w:rFonts w:ascii="楷体" w:hAnsi="楷体" w:cs="楷体" w:eastAsia="楷体"/>
                <w:sz w:val="40"/>
                <w:spacing w:val="0"/>
                <w:color w:val="000000"/>
                <w:b w:val="off"/>
                <w:i w:val="off"/>
              </w:rPr>
              <w:t>10kV~220kV 考核用电能计量装置</w:t>
            </w:r>
            <w:bookmarkEnd w:id="1173"/>
          </w:p>
          <w:p>
            <w:pPr>
              <w:pageBreakBefore w:val="off"/>
              <w:tabs/>
              <w:wordWrap w:val="off"/>
              <w:spacing w:before="0" w:after="0" w:line="54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174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计量100MW以下发电机发电量、发电企业厂(站)用电量的电能计量装置</w:t>
            </w:r>
            <w:bookmarkEnd w:id="1174"/>
          </w:p>
        </w:tc>
      </w:tr>
      <w:tr>
        <w:trPr>
          <w:trHeight w:hRule="atLeast" w:val="900"/>
        </w:trPr>
        <w:tc>
          <w:tcPr>
            <w:tcW w:w="19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center"/>
              <w:textAlignment w:val="baseline"/>
              <w:rPr>
                <w:sz w:val="40"/>
              </w:rPr>
            </w:pPr>
            <w:bookmarkStart w:name="" w:id="1175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Ⅳ类</w:t>
            </w:r>
            <w:bookmarkEnd w:id="1175"/>
          </w:p>
        </w:tc>
        <w:tc>
          <w:tcPr>
            <w:tcW w:w="144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176"/>
            <w:r>
              <w:rPr>
                <w:rFonts w:ascii="楷体" w:hAnsi="楷体" w:cs="楷体" w:eastAsia="楷体"/>
                <w:sz w:val="40"/>
                <w:spacing w:val="0"/>
                <w:color w:val="000000"/>
                <w:b w:val="off"/>
                <w:i w:val="off"/>
              </w:rPr>
              <w:t>380V~10kV 电能计量装置</w:t>
            </w:r>
            <w:bookmarkEnd w:id="1176"/>
          </w:p>
        </w:tc>
      </w:tr>
      <w:tr>
        <w:trPr>
          <w:trHeight w:hRule="atLeast" w:val="860"/>
        </w:trPr>
        <w:tc>
          <w:tcPr>
            <w:tcW w:w="19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center"/>
              <w:textAlignment w:val="baseline"/>
              <w:rPr>
                <w:sz w:val="40"/>
              </w:rPr>
            </w:pPr>
            <w:bookmarkStart w:name="" w:id="1177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V类</w:t>
            </w:r>
            <w:bookmarkEnd w:id="1177"/>
          </w:p>
        </w:tc>
        <w:tc>
          <w:tcPr>
            <w:tcW w:w="144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both"/>
              <w:textAlignment w:val="baseline"/>
              <w:rPr>
                <w:sz w:val="40"/>
              </w:rPr>
            </w:pPr>
            <w:bookmarkStart w:name="" w:id="1178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220V 单相电能计量装置</w:t>
            </w:r>
            <w:bookmarkEnd w:id="1178"/>
          </w:p>
        </w:tc>
      </w:tr>
    </w:tbl>
    <w:p>
      <w:pPr>
        <w:pageBreakBefore w:val="off"/>
        <w:tabs/>
        <w:wordWrap w:val="off"/>
        <w:spacing w:before="0" w:after="0" w:line="1200" w:lineRule="atLeast"/>
        <w:ind w:left="0" w:right="20" w:firstLine="1160"/>
        <w:jc w:val="both"/>
        <w:textAlignment w:val="baseline"/>
        <w:rPr>
          <w:sz w:val="61"/>
        </w:rPr>
      </w:pPr>
      <w:bookmarkStart w:name="" w:id="1179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各类电能计量装置应配置的电能表、互感器准确度等级 不</w:t>
      </w:r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低于下表标准。</w:t>
      </w:r>
      <w:bookmarkEnd w:id="1179"/>
    </w:p>
    <w:p>
      <w:pPr>
        <w:pageBreakBefore w:val="off"/>
        <w:tabs/>
        <w:wordWrap w:val="off"/>
        <w:spacing w:before="0" w:after="0" w:line="1200" w:lineRule="atLeast"/>
        <w:ind w:left="0" w:right="0"/>
        <w:jc w:val="center"/>
        <w:textAlignment w:val="baseline"/>
        <w:rPr>
          <w:sz w:val="61"/>
        </w:rPr>
      </w:pPr>
      <w:bookmarkStart w:name="" w:id="1180"/>
      <w:r>
        <w:rPr>
          <w:rFonts w:ascii="仿宋" w:hAnsi="仿宋" w:cs="仿宋" w:eastAsia="仿宋"/>
          <w:sz w:val="61"/>
          <w:spacing w:val="0"/>
          <w:color w:val="000000"/>
          <w:b w:val="off"/>
          <w:i w:val="off"/>
        </w:rPr>
        <w:t>表2 准确度等级</w:t>
      </w:r>
      <w:bookmarkEnd w:id="1180"/>
    </w:p>
    <w:tbl>
      <w:tblPr>
        <w:tblW w:w="0" w:type="auto"/>
        <w:jc w:val="start"/>
        <w:tblInd w:type="dxa" w:w="180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400"/>
        <w:gridCol w:w="1840"/>
        <w:gridCol w:w="1860"/>
        <w:gridCol w:w="3640"/>
        <w:gridCol w:w="3660"/>
      </w:tblGrid>
      <w:tr>
        <w:trPr>
          <w:trHeight w:hRule="atLeast" w:val="1000"/>
        </w:trPr>
        <w:tc>
          <w:tcPr>
            <w:tcW w:w="5400" w:type="dxa"/>
            <w:vMerge w:val="restart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center"/>
              <w:textAlignment w:val="baseline"/>
              <w:rPr>
                <w:sz w:val="40"/>
              </w:rPr>
            </w:pPr>
            <w:bookmarkStart w:name="" w:id="1181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电能计量装置类别</w:t>
            </w:r>
            <w:bookmarkEnd w:id="1181"/>
          </w:p>
        </w:tc>
        <w:tc>
          <w:tcPr>
            <w:tcW w:w="11000" w:type="dxa"/>
            <w:gridSpan w:val="4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center"/>
              <w:textAlignment w:val="baseline"/>
              <w:rPr>
                <w:sz w:val="40"/>
              </w:rPr>
            </w:pPr>
            <w:bookmarkStart w:name="" w:id="1182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准确度等级</w:t>
            </w:r>
            <w:bookmarkEnd w:id="1182"/>
          </w:p>
        </w:tc>
      </w:tr>
      <w:tr>
        <w:trPr>
          <w:trHeight w:hRule="atLeast" w:val="1020"/>
        </w:trPr>
        <w:tc>
          <w:tcPr>
            <w:tcW w:w="5400" w:type="dxa"/>
            <w:vMerge w:val="continue"/>
          </w:tcPr>
          <w:p/>
        </w:tc>
        <w:tc>
          <w:tcPr>
            <w:tcW w:w="3700" w:type="dxa"/>
            <w:gridSpan w:val="2"/>
            <w:vAlign w:val="center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center"/>
              <w:textAlignment w:val="baseline"/>
              <w:rPr>
                <w:sz w:val="40"/>
              </w:rPr>
            </w:pPr>
            <w:bookmarkStart w:name="" w:id="1183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电能表</w:t>
            </w:r>
            <w:bookmarkEnd w:id="1183"/>
          </w:p>
        </w:tc>
        <w:tc>
          <w:tcPr>
            <w:tcW w:w="7300" w:type="dxa"/>
            <w:gridSpan w:val="2"/>
            <w:vAlign w:val="center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center"/>
              <w:textAlignment w:val="baseline"/>
              <w:rPr>
                <w:sz w:val="40"/>
              </w:rPr>
            </w:pPr>
            <w:bookmarkStart w:name="" w:id="1184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电力互感器</w:t>
            </w:r>
            <w:bookmarkEnd w:id="1184"/>
          </w:p>
        </w:tc>
      </w:tr>
      <w:tr>
        <w:trPr>
          <w:trHeight w:hRule="atLeast" w:val="1040"/>
        </w:trPr>
        <w:tc>
          <w:tcPr>
            <w:tcW w:w="5400" w:type="dxa"/>
            <w:vMerge w:val="continue"/>
          </w:tcPr>
          <w:p/>
        </w:tc>
        <w:tc>
          <w:tcPr>
            <w:tcW w:w="18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center"/>
              <w:textAlignment w:val="baseline"/>
              <w:rPr>
                <w:sz w:val="40"/>
              </w:rPr>
            </w:pPr>
            <w:bookmarkStart w:name="" w:id="1185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有功</w:t>
            </w:r>
            <w:bookmarkEnd w:id="1185"/>
          </w:p>
        </w:tc>
        <w:tc>
          <w:tcPr>
            <w:tcW w:w="18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center"/>
              <w:textAlignment w:val="baseline"/>
              <w:rPr>
                <w:sz w:val="40"/>
              </w:rPr>
            </w:pPr>
            <w:bookmarkStart w:name="" w:id="1186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无功</w:t>
            </w:r>
            <w:bookmarkEnd w:id="1186"/>
          </w:p>
        </w:tc>
        <w:tc>
          <w:tcPr>
            <w:tcW w:w="36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center"/>
              <w:textAlignment w:val="baseline"/>
              <w:rPr>
                <w:sz w:val="40"/>
              </w:rPr>
            </w:pPr>
            <w:bookmarkStart w:name="" w:id="1187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电压互感器</w:t>
            </w:r>
            <w:bookmarkEnd w:id="1187"/>
          </w:p>
        </w:tc>
        <w:tc>
          <w:tcPr>
            <w:tcW w:w="36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center"/>
              <w:textAlignment w:val="baseline"/>
              <w:rPr>
                <w:sz w:val="40"/>
              </w:rPr>
            </w:pPr>
            <w:bookmarkStart w:name="" w:id="1188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电流互感器</w:t>
            </w:r>
            <w:bookmarkEnd w:id="1188"/>
          </w:p>
        </w:tc>
      </w:tr>
      <w:tr>
        <w:trPr>
          <w:trHeight w:hRule="atLeast" w:val="980"/>
        </w:trPr>
        <w:tc>
          <w:tcPr>
            <w:tcW w:w="540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center"/>
              <w:textAlignment w:val="baseline"/>
              <w:rPr>
                <w:sz w:val="40"/>
              </w:rPr>
            </w:pPr>
            <w:bookmarkStart w:name="" w:id="1189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I</w:t>
            </w:r>
            <w:bookmarkEnd w:id="1189"/>
          </w:p>
        </w:tc>
        <w:tc>
          <w:tcPr>
            <w:tcW w:w="18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center"/>
              <w:textAlignment w:val="baseline"/>
              <w:rPr>
                <w:sz w:val="40"/>
              </w:rPr>
            </w:pPr>
            <w:bookmarkStart w:name="" w:id="1190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0.2S</w:t>
            </w:r>
            <w:bookmarkEnd w:id="1190"/>
          </w:p>
        </w:tc>
        <w:tc>
          <w:tcPr>
            <w:tcW w:w="18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center"/>
              <w:textAlignment w:val="baseline"/>
              <w:rPr>
                <w:sz w:val="40"/>
              </w:rPr>
            </w:pPr>
            <w:bookmarkStart w:name="" w:id="1191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2</w:t>
            </w:r>
            <w:bookmarkEnd w:id="1191"/>
          </w:p>
        </w:tc>
        <w:tc>
          <w:tcPr>
            <w:tcW w:w="364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center"/>
              <w:textAlignment w:val="baseline"/>
              <w:rPr>
                <w:sz w:val="40"/>
              </w:rPr>
            </w:pPr>
            <w:bookmarkStart w:name="" w:id="1192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0.2</w:t>
            </w:r>
            <w:bookmarkEnd w:id="1192"/>
          </w:p>
        </w:tc>
        <w:tc>
          <w:tcPr>
            <w:tcW w:w="36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20" w:lineRule="atLeast"/>
              <w:ind w:left="0" w:right="0" w:firstLine="0" w:hanging="0"/>
              <w:jc w:val="center"/>
              <w:textAlignment w:val="baseline"/>
              <w:rPr>
                <w:sz w:val="40"/>
              </w:rPr>
            </w:pPr>
            <w:bookmarkStart w:name="" w:id="1193"/>
            <w:r>
              <w:rPr>
                <w:rFonts w:ascii="仿宋" w:hAnsi="仿宋" w:cs="仿宋" w:eastAsia="仿宋"/>
                <w:sz w:val="40"/>
                <w:spacing w:val="0"/>
                <w:color w:val="000000"/>
                <w:b w:val="off"/>
                <w:i w:val="off"/>
              </w:rPr>
              <w:t>0.2S</w:t>
            </w:r>
            <w:bookmarkEnd w:id="1193"/>
          </w:p>
        </w:tc>
      </w:tr>
    </w:tbl>
    <w:p>
      <w:pPr>
        <w:pageBreakBefore w:val="off"/>
        <w:tabs/>
        <w:wordWrap w:val="off"/>
        <w:spacing w:before="0" w:after="0" w:line="640" w:lineRule="exact"/>
        <w:ind w:left="0" w:right="0"/>
        <w:jc w:val="left"/>
        <w:textAlignment w:val="baseline"/>
        <w:rPr>
          <w:sz w:val="51"/>
        </w:rPr>
      </w:pPr>
      <w:bookmarkStart w:name="" w:id="1194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194"/>
    </w:p>
    <w:p>
      <w:pPr>
        <w:pageBreakBefore w:val="off"/>
        <w:tabs/>
        <w:wordWrap w:val="off"/>
        <w:spacing w:before="0" w:after="0" w:line="640" w:lineRule="exact"/>
        <w:ind w:left="0" w:right="0"/>
        <w:jc w:val="left"/>
        <w:textAlignment w:val="baseline"/>
        <w:rPr>
          <w:sz w:val="51"/>
        </w:rPr>
      </w:pPr>
      <w:bookmarkStart w:name="" w:id="1195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/>
      </w:r>
      <w:bookmarkEnd w:id="1195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51"/>
        </w:rPr>
      </w:pPr>
      <w:bookmarkStart w:name="" w:id="1196"/>
      <w:r>
        <w:rPr>
          <w:rFonts w:ascii="仿宋" w:hAnsi="仿宋" w:cs="仿宋" w:eastAsia="仿宋"/>
          <w:sz w:val="51"/>
          <w:spacing w:val="0"/>
          <w:color w:val="000000"/>
          <w:b w:val="off"/>
          <w:i w:val="off"/>
        </w:rPr>
        <w:t>5</w:t>
      </w:r>
      <w:bookmarkEnd w:id="1196"/>
    </w:p>
    <w:p>
      <w:r>
        <w:t/>
      </w:r>
    </w:p>
    <w:p>
      <w:pPr>
        <w:sectPr>
          <w:footerReference r:id="rId19"/>
          <w:headerReference r:id="rId20" w:type="default"/>
          <w:type w:val="nextPage"/>
          <w:pgSz w:w="22400" w:h="31680"/>
          <w:pgMar w:left="2780" w:top="2260" w:right="2780" w:bottom="2260" w:header="1960" w:footer="1960"/>
          <w:cols w:num="1"/>
        </w:sectPr>
      </w:pPr>
    </w:p>
    <w:tbl>
      <w:tblPr>
        <w:tblW w:w="0" w:type="auto"/>
        <w:jc w:val="star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480"/>
        <w:gridCol w:w="1820"/>
        <w:gridCol w:w="1860"/>
        <w:gridCol w:w="3620"/>
        <w:gridCol w:w="3680"/>
      </w:tblGrid>
      <w:tr>
        <w:trPr>
          <w:trHeight w:hRule="atLeast" w:val="900"/>
        </w:trPr>
        <w:tc>
          <w:tcPr>
            <w:tcW w:w="548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1197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Ⅱ</w:t>
            </w:r>
            <w:bookmarkEnd w:id="1197"/>
          </w:p>
        </w:tc>
        <w:tc>
          <w:tcPr>
            <w:tcW w:w="182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1198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0.5S</w:t>
            </w:r>
            <w:bookmarkEnd w:id="1198"/>
          </w:p>
        </w:tc>
        <w:tc>
          <w:tcPr>
            <w:tcW w:w="186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1199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2</w:t>
            </w:r>
            <w:bookmarkEnd w:id="1199"/>
          </w:p>
        </w:tc>
        <w:tc>
          <w:tcPr>
            <w:tcW w:w="362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both"/>
              <w:textAlignment w:val="baseline"/>
              <w:rPr>
                <w:sz w:val="42"/>
              </w:rPr>
            </w:pPr>
            <w:bookmarkStart w:name="" w:id="1200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0.2</w:t>
            </w:r>
            <w:bookmarkEnd w:id="1200"/>
          </w:p>
        </w:tc>
        <w:tc>
          <w:tcPr>
            <w:tcW w:w="3680" w:type="dxa"/>
            <w:shd w:color="auto" w:val="clear" w:fill="EEEEEE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1201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0.2S</w:t>
            </w:r>
            <w:bookmarkEnd w:id="1201"/>
          </w:p>
        </w:tc>
      </w:tr>
      <w:tr>
        <w:trPr>
          <w:trHeight w:hRule="atLeast" w:val="980"/>
        </w:trPr>
        <w:tc>
          <w:tcPr>
            <w:tcW w:w="54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1202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Ⅲ</w:t>
            </w:r>
            <w:bookmarkEnd w:id="1202"/>
          </w:p>
        </w:tc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1203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0.5S</w:t>
            </w:r>
            <w:bookmarkEnd w:id="1203"/>
          </w:p>
        </w:tc>
        <w:tc>
          <w:tcPr>
            <w:tcW w:w="18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1204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2</w:t>
            </w:r>
            <w:bookmarkEnd w:id="1204"/>
          </w:p>
        </w:tc>
        <w:tc>
          <w:tcPr>
            <w:tcW w:w="36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1205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0.5</w:t>
            </w:r>
            <w:bookmarkEnd w:id="1205"/>
          </w:p>
        </w:tc>
        <w:tc>
          <w:tcPr>
            <w:tcW w:w="36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1206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0.5S</w:t>
            </w:r>
            <w:bookmarkEnd w:id="1206"/>
          </w:p>
        </w:tc>
      </w:tr>
      <w:tr>
        <w:trPr>
          <w:trHeight w:hRule="atLeast" w:val="980"/>
        </w:trPr>
        <w:tc>
          <w:tcPr>
            <w:tcW w:w="54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1207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IV</w:t>
            </w:r>
            <w:bookmarkEnd w:id="1207"/>
          </w:p>
        </w:tc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1208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1</w:t>
            </w:r>
            <w:bookmarkEnd w:id="1208"/>
          </w:p>
        </w:tc>
        <w:tc>
          <w:tcPr>
            <w:tcW w:w="18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1209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2</w:t>
            </w:r>
            <w:bookmarkEnd w:id="1209"/>
          </w:p>
        </w:tc>
        <w:tc>
          <w:tcPr>
            <w:tcW w:w="36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1210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0.5</w:t>
            </w:r>
            <w:bookmarkEnd w:id="1210"/>
          </w:p>
        </w:tc>
        <w:tc>
          <w:tcPr>
            <w:tcW w:w="36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1211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0.5S</w:t>
            </w:r>
            <w:bookmarkEnd w:id="1211"/>
          </w:p>
        </w:tc>
      </w:tr>
      <w:tr>
        <w:trPr>
          <w:trHeight w:hRule="atLeast" w:val="960"/>
        </w:trPr>
        <w:tc>
          <w:tcPr>
            <w:tcW w:w="54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1212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V</w:t>
            </w:r>
            <w:bookmarkEnd w:id="1212"/>
          </w:p>
        </w:tc>
        <w:tc>
          <w:tcPr>
            <w:tcW w:w="18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1213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2</w:t>
            </w:r>
            <w:bookmarkEnd w:id="1213"/>
          </w:p>
        </w:tc>
        <w:tc>
          <w:tcPr>
            <w:tcW w:w="186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1214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-</w:t>
            </w:r>
            <w:bookmarkEnd w:id="1214"/>
          </w:p>
        </w:tc>
        <w:tc>
          <w:tcPr>
            <w:tcW w:w="362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1215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-</w:t>
            </w:r>
            <w:bookmarkEnd w:id="1215"/>
          </w:p>
        </w:tc>
        <w:tc>
          <w:tcPr>
            <w:tcW w:w="3680" w:type="dxa"/>
            <w:vAlign w:val="center"/>
          </w:tcPr>
          <w:p>
            <w:pPr>
              <w:pageBreakBefore w:val="off"/>
              <w:tabs/>
              <w:wordWrap w:val="off"/>
              <w:spacing w:before="0" w:after="0" w:line="560" w:lineRule="atLeast"/>
              <w:ind w:left="0" w:right="0" w:firstLine="0" w:hanging="0"/>
              <w:jc w:val="center"/>
              <w:textAlignment w:val="baseline"/>
              <w:rPr>
                <w:sz w:val="42"/>
              </w:rPr>
            </w:pPr>
            <w:bookmarkStart w:name="" w:id="1216"/>
            <w:r>
              <w:rPr>
                <w:rFonts w:ascii="宋体" w:hAnsi="宋体" w:cs="宋体" w:eastAsia="宋体"/>
                <w:sz w:val="42"/>
                <w:spacing w:val="0"/>
                <w:color w:val="000000"/>
                <w:b w:val="off"/>
                <w:i w:val="off"/>
              </w:rPr>
              <w:t>0.5S</w:t>
            </w:r>
            <w:bookmarkEnd w:id="1216"/>
          </w:p>
        </w:tc>
      </w:tr>
    </w:tbl>
    <w:p>
      <w:pPr>
        <w:pageBreakBefore w:val="off"/>
        <w:tabs/>
        <w:wordWrap w:val="off"/>
        <w:spacing w:before="0" w:after="0" w:line="1120" w:lineRule="atLeast"/>
        <w:ind w:left="0" w:right="0" w:firstLine="1220"/>
        <w:jc w:val="both"/>
        <w:textAlignment w:val="baseline"/>
        <w:rPr>
          <w:sz w:val="58"/>
        </w:rPr>
      </w:pPr>
      <w:bookmarkStart w:name="" w:id="121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其中，Ⅰ类电能计量装置、计量单机容量 100MW 及以上发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电机组上网贸易结算电量的电能计量装置和电网企业之间购销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电量的110kV及以上电能计量装置，应配置型号、准确度等级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相同的主副两只有功电能表。主副表应有明确标志，以主表计量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数据作为结算数据，副表计量数据作为参照。当确认主表故障后，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副表计量数据替代主表计量数据作为电量结算数据。110kV 及以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上发电企业、独立储能电站的所有计量及采集装置应具备电能示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值4位小数冻结及采集功能。</w:t>
      </w:r>
      <w:bookmarkEnd w:id="1217"/>
    </w:p>
    <w:p>
      <w:pPr>
        <w:pageBreakBefore w:val="off"/>
        <w:tabs/>
        <w:wordWrap w:val="off"/>
        <w:spacing w:before="0" w:after="0" w:line="860" w:lineRule="atLeast"/>
        <w:ind w:left="1180" w:right="0" w:firstLine="40"/>
        <w:jc w:val="both"/>
        <w:textAlignment w:val="baseline"/>
        <w:rPr>
          <w:sz w:val="60"/>
        </w:rPr>
      </w:pPr>
      <w:bookmarkStart w:name="" w:id="1218"/>
      <w:r>
        <w:rPr>
          <w:rFonts w:ascii="楷体" w:hAnsi="楷体" w:cs="楷体" w:eastAsia="楷体"/>
          <w:sz w:val="60"/>
          <w:spacing w:val="0"/>
          <w:color w:val="000000"/>
          <w:b w:val="on"/>
          <w:i w:val="off"/>
        </w:rPr>
        <w:t>6.2采集装置配置要求</w:t>
      </w:r>
      <w:bookmarkEnd w:id="1218"/>
    </w:p>
    <w:p>
      <w:pPr>
        <w:pageBreakBefore w:val="off"/>
        <w:tabs/>
        <w:wordWrap w:val="off"/>
        <w:spacing w:before="0" w:after="0" w:line="1120" w:lineRule="atLeast"/>
        <w:ind w:left="0" w:right="0" w:firstLine="1220"/>
        <w:jc w:val="both"/>
        <w:textAlignment w:val="baseline"/>
        <w:rPr>
          <w:sz w:val="58"/>
        </w:rPr>
      </w:pPr>
      <w:bookmarkStart w:name="" w:id="121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发电企业应安装厂站电能量采集终端；供/用电电压在 10kV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及以上的分布式电源及用户，应安装专变采集终端；供/用电电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压在 10kV 以下的分布式电源及用户，应安装集中器或智能融合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终端。</w:t>
      </w:r>
      <w:bookmarkEnd w:id="1219"/>
    </w:p>
    <w:p>
      <w:pPr>
        <w:pageBreakBefore w:val="off"/>
        <w:tabs/>
        <w:wordWrap w:val="off"/>
        <w:spacing w:before="0" w:after="0" w:line="860" w:lineRule="atLeast"/>
        <w:ind w:left="1180" w:right="0" w:firstLine="40"/>
        <w:jc w:val="both"/>
        <w:textAlignment w:val="baseline"/>
        <w:rPr>
          <w:sz w:val="60"/>
        </w:rPr>
      </w:pPr>
      <w:bookmarkStart w:name="" w:id="1220"/>
      <w:r>
        <w:rPr>
          <w:rFonts w:ascii="楷体" w:hAnsi="楷体" w:cs="楷体" w:eastAsia="楷体"/>
          <w:sz w:val="60"/>
          <w:spacing w:val="0"/>
          <w:color w:val="000000"/>
          <w:b w:val="on"/>
          <w:i w:val="off"/>
        </w:rPr>
        <w:t>7.电能计量装置运行管理</w:t>
      </w:r>
      <w:bookmarkEnd w:id="1220"/>
    </w:p>
    <w:p>
      <w:pPr>
        <w:pageBreakBefore w:val="off"/>
        <w:tabs/>
        <w:wordWrap w:val="off"/>
        <w:spacing w:before="320" w:after="0" w:line="860" w:lineRule="atLeast"/>
        <w:ind w:left="1220" w:right="0"/>
        <w:jc w:val="both"/>
        <w:textAlignment w:val="baseline"/>
        <w:rPr>
          <w:sz w:val="60"/>
        </w:rPr>
      </w:pPr>
      <w:bookmarkStart w:name="" w:id="1221"/>
      <w:r>
        <w:rPr>
          <w:rFonts w:ascii="楷体" w:hAnsi="楷体" w:cs="楷体" w:eastAsia="楷体"/>
          <w:sz w:val="60"/>
          <w:spacing w:val="0"/>
          <w:color w:val="000000"/>
          <w:b w:val="on"/>
          <w:i w:val="off"/>
        </w:rPr>
        <w:t>7.1投运前管理</w:t>
      </w:r>
      <w:bookmarkEnd w:id="1221"/>
    </w:p>
    <w:p>
      <w:pPr>
        <w:pageBreakBefore w:val="off"/>
        <w:tabs/>
        <w:wordWrap w:val="off"/>
        <w:spacing w:before="0" w:after="0" w:line="1120" w:lineRule="atLeast"/>
        <w:ind w:left="0" w:right="0" w:firstLine="1220"/>
        <w:jc w:val="both"/>
        <w:textAlignment w:val="baseline"/>
        <w:rPr>
          <w:sz w:val="58"/>
        </w:rPr>
      </w:pPr>
      <w:bookmarkStart w:name="" w:id="122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与交易结算有关的电能计量装置的设计方案应经电网企业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评审通过。参与电力市场的发电企业、拥有配电网运营权的配售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电企业向电网企业申请到关口计量点后，应及时提供电能计量装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置设计方案，经由电网企业组织有关电能计量专业人员审查通过</w:t>
      </w:r>
      <w:bookmarkEnd w:id="1222"/>
    </w:p>
    <w:p>
      <w:pPr>
        <w:pageBreakBefore w:val="off"/>
        <w:tabs/>
        <w:wordWrap w:val="off"/>
        <w:spacing w:before="88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223"/>
      <w:r>
        <w:rPr>
          <w:rFonts w:ascii="宋体" w:hAnsi="宋体" w:cs="宋体" w:eastAsia="宋体"/>
          <w:sz w:val="51"/>
          <w:spacing w:val="0"/>
          <w:color w:val="000000"/>
          <w:b w:val="off"/>
          <w:i w:val="off"/>
        </w:rPr>
        <w:t>6</w:t>
      </w:r>
      <w:bookmarkEnd w:id="1223"/>
    </w:p>
    <w:p>
      <w:r>
        <w:t/>
      </w:r>
    </w:p>
    <w:p>
      <w:pPr>
        <w:sectPr>
          <w:footerReference r:id="rId21"/>
          <w:headerReference r:id="rId22" w:type="default"/>
          <w:type w:val="nextPage"/>
          <w:pgSz w:w="22400" w:h="31680"/>
          <w:pgMar w:left="2880" w:top="2260" w:right="2880" w:bottom="2260" w:header="1960" w:footer="1960"/>
          <w:cols w:num="1"/>
        </w:sectPr>
      </w:pPr>
    </w:p>
    <w:p>
      <w:pPr>
        <w:pageBreakBefore w:val="off"/>
        <w:tabs/>
        <w:wordWrap w:val="off"/>
        <w:spacing w:before="620" w:after="0" w:line="1080" w:lineRule="atLeast"/>
        <w:ind w:left="0" w:right="240"/>
        <w:jc w:val="both"/>
        <w:textAlignment w:val="baseline"/>
        <w:rPr>
          <w:sz w:val="58"/>
        </w:rPr>
      </w:pPr>
      <w:bookmarkStart w:name="" w:id="122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后再行建设。计量装置现场安装接线工艺应严格执行《电能计量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装置安装接线规则》(DL/T825-2021)要求，电能计量装置投运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前由电网企业负责组织进行全面验收，合格后再申请送电。</w:t>
      </w:r>
      <w:bookmarkEnd w:id="1224"/>
    </w:p>
    <w:p>
      <w:pPr>
        <w:pageBreakBefore w:val="off"/>
        <w:tabs/>
        <w:wordWrap w:val="off"/>
        <w:spacing w:before="0" w:after="0" w:line="780" w:lineRule="atLeast"/>
        <w:ind w:left="1180" w:right="0"/>
        <w:jc w:val="both"/>
        <w:textAlignment w:val="baseline"/>
        <w:rPr>
          <w:sz w:val="57"/>
        </w:rPr>
      </w:pPr>
      <w:bookmarkStart w:name="" w:id="1225"/>
      <w:r>
        <w:rPr>
          <w:rFonts w:ascii="楷体" w:hAnsi="楷体" w:cs="楷体" w:eastAsia="楷体"/>
          <w:sz w:val="57"/>
          <w:spacing w:val="0"/>
          <w:color w:val="000000"/>
          <w:b w:val="on"/>
          <w:i w:val="off"/>
        </w:rPr>
        <w:t>7.2现场检验管理</w:t>
      </w:r>
      <w:bookmarkEnd w:id="1225"/>
    </w:p>
    <w:p>
      <w:pPr>
        <w:pageBreakBefore w:val="off"/>
        <w:tabs/>
        <w:wordWrap w:val="off"/>
        <w:spacing w:before="0" w:after="0" w:line="1080" w:lineRule="atLeast"/>
        <w:ind w:left="0" w:right="240" w:firstLine="1220"/>
        <w:jc w:val="both"/>
        <w:textAlignment w:val="baseline"/>
        <w:rPr>
          <w:sz w:val="58"/>
        </w:rPr>
      </w:pPr>
      <w:bookmarkStart w:name="" w:id="122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新建、改(扩)建关口计量装置投运后，产权单位应建立相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应的运行档案并及时维护。经营主体内部用于电量考核、电量平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衡、经济技术指标分析的电能计量装置，宜应用运行监测技术开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展运行状态检测。</w:t>
      </w:r>
      <w:bookmarkEnd w:id="1226"/>
    </w:p>
    <w:p>
      <w:pPr>
        <w:pageBreakBefore w:val="off"/>
        <w:tabs/>
        <w:wordWrap w:val="off"/>
        <w:spacing w:before="0" w:after="0" w:line="780" w:lineRule="atLeast"/>
        <w:ind w:left="1180" w:right="0"/>
        <w:jc w:val="both"/>
        <w:textAlignment w:val="baseline"/>
        <w:rPr>
          <w:sz w:val="57"/>
        </w:rPr>
      </w:pPr>
      <w:bookmarkStart w:name="" w:id="1227"/>
      <w:r>
        <w:rPr>
          <w:rFonts w:ascii="楷体" w:hAnsi="楷体" w:cs="楷体" w:eastAsia="楷体"/>
          <w:sz w:val="57"/>
          <w:spacing w:val="0"/>
          <w:color w:val="000000"/>
          <w:b w:val="on"/>
          <w:i w:val="off"/>
        </w:rPr>
        <w:t>7.3运行维护管理</w:t>
      </w:r>
      <w:bookmarkEnd w:id="1227"/>
    </w:p>
    <w:p>
      <w:pPr>
        <w:pageBreakBefore w:val="off"/>
        <w:tabs/>
        <w:wordWrap w:val="off"/>
        <w:spacing w:before="0" w:after="0" w:line="1080" w:lineRule="atLeast"/>
        <w:ind w:left="0" w:right="240" w:firstLine="1440"/>
        <w:jc w:val="both"/>
        <w:textAlignment w:val="baseline"/>
        <w:rPr>
          <w:sz w:val="58"/>
        </w:rPr>
      </w:pPr>
      <w:bookmarkStart w:name="" w:id="122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(1)安装在发电企业、拥有配电网运营权的售电公司生产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运行场所的电能计量装置，运行人员应负责监护，保证其封印完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好；安装在用户侧的电能计量装置，由用户负责保护其封印完好，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保障计量装置不受损坏或丢失。</w:t>
      </w:r>
      <w:bookmarkEnd w:id="1228"/>
    </w:p>
    <w:p>
      <w:pPr>
        <w:pageBreakBefore w:val="off"/>
        <w:tabs/>
        <w:wordWrap w:val="off"/>
        <w:spacing w:before="0" w:after="0" w:line="1080" w:lineRule="atLeast"/>
        <w:ind w:left="0" w:right="240" w:firstLine="1440"/>
        <w:jc w:val="both"/>
        <w:textAlignment w:val="baseline"/>
        <w:rPr>
          <w:sz w:val="58"/>
        </w:rPr>
      </w:pPr>
      <w:bookmarkStart w:name="" w:id="122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(2)当电能计量装置发生故障时，应及时通知电能计量技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术机构进行处理。贸易结算用电能计量装置故障，应由电网企业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电能计量技术机构依据《中华人民共和国电力法》及其配套法规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的有关规定进行处理。</w:t>
      </w:r>
      <w:bookmarkEnd w:id="1229"/>
    </w:p>
    <w:p>
      <w:pPr>
        <w:pageBreakBefore w:val="off"/>
        <w:tabs/>
        <w:wordWrap w:val="off"/>
        <w:spacing w:before="0" w:after="0" w:line="1080" w:lineRule="atLeast"/>
        <w:ind w:left="0" w:right="0" w:firstLine="1440"/>
        <w:jc w:val="both"/>
        <w:textAlignment w:val="baseline"/>
        <w:rPr>
          <w:sz w:val="58"/>
        </w:rPr>
      </w:pPr>
      <w:bookmarkStart w:name="" w:id="123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(3)计量装置使用的封印样式和编号方式等由电网企业按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照行业技术规范要求订制及管理。计量装置变更、现场工作结束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后应对关口计量装置实施封印，记录封印编号，由各方代表在记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录中签名确认。相关各方均应做好关口计量装置封印维护和管理，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任何一方不得无故擅自开启封印。</w:t>
      </w:r>
      <w:bookmarkEnd w:id="1230"/>
    </w:p>
    <w:p>
      <w:pPr>
        <w:pageBreakBefore w:val="off"/>
        <w:tabs/>
        <w:wordWrap w:val="off"/>
        <w:spacing w:before="400" w:after="0" w:line="760" w:lineRule="atLeast"/>
        <w:ind w:left="1180" w:right="0"/>
        <w:jc w:val="both"/>
        <w:textAlignment w:val="baseline"/>
        <w:rPr>
          <w:sz w:val="57"/>
        </w:rPr>
      </w:pPr>
      <w:bookmarkStart w:name="" w:id="1231"/>
      <w:r>
        <w:rPr>
          <w:rFonts w:ascii="楷体" w:hAnsi="楷体" w:cs="楷体" w:eastAsia="楷体"/>
          <w:sz w:val="57"/>
          <w:spacing w:val="0"/>
          <w:color w:val="000000"/>
          <w:b w:val="on"/>
          <w:i w:val="off"/>
        </w:rPr>
        <w:t>7.4计量装置申校管理</w:t>
      </w:r>
      <w:bookmarkEnd w:id="1231"/>
    </w:p>
    <w:p>
      <w:pPr>
        <w:pageBreakBefore w:val="off"/>
        <w:tabs/>
        <w:wordWrap w:val="off"/>
        <w:spacing w:before="0" w:after="0" w:line="760" w:lineRule="exact"/>
        <w:ind w:left="0" w:right="0"/>
        <w:jc w:val="both"/>
        <w:textAlignment w:val="baseline"/>
        <w:rPr>
          <w:sz w:val="57"/>
        </w:rPr>
      </w:pPr>
      <w:bookmarkStart w:name="" w:id="1232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232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233"/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>7</w:t>
      </w:r>
      <w:bookmarkEnd w:id="1233"/>
    </w:p>
    <w:p>
      <w:r>
        <w:t/>
      </w:r>
    </w:p>
    <w:p>
      <w:pPr>
        <w:sectPr>
          <w:footerReference r:id="rId23"/>
          <w:headerReference r:id="rId24" w:type="default"/>
          <w:type w:val="nextPage"/>
          <w:pgSz w:w="22400" w:h="31680"/>
          <w:pgMar w:left="2780" w:top="2260" w:right="2780" w:bottom="2260" w:header="1960" w:footer="1960"/>
          <w:cols w:num="1"/>
        </w:sectPr>
      </w:pPr>
    </w:p>
    <w:p>
      <w:pPr>
        <w:pageBreakBefore w:val="off"/>
        <w:tabs/>
        <w:wordWrap w:val="off"/>
        <w:spacing w:before="640" w:after="0" w:line="1120" w:lineRule="atLeast"/>
        <w:ind w:left="0" w:right="0" w:firstLine="1240"/>
        <w:jc w:val="both"/>
        <w:textAlignment w:val="baseline"/>
        <w:rPr>
          <w:sz w:val="57"/>
        </w:rPr>
      </w:pPr>
      <w:bookmarkStart w:name="" w:id="123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经营主体对电网企业装设的计量装置的准确性存在异议时，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有权向电网企业提出校验申请，电网企业应在5个工作日内出具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检验结果。如经营主体对申校结果有异议，可向经营主体上级计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量检定机构申请二次检定或向政府计量行政主管部门申请仲裁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检定。</w:t>
      </w:r>
      <w:bookmarkEnd w:id="1234"/>
    </w:p>
    <w:p>
      <w:pPr>
        <w:pageBreakBefore w:val="off"/>
        <w:tabs/>
        <w:wordWrap w:val="off"/>
        <w:spacing w:before="0" w:after="0" w:line="840" w:lineRule="atLeast"/>
        <w:ind w:left="1180" w:right="0"/>
        <w:jc w:val="both"/>
        <w:textAlignment w:val="baseline"/>
        <w:rPr>
          <w:sz w:val="61"/>
        </w:rPr>
      </w:pPr>
      <w:bookmarkStart w:name="" w:id="1235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8.计量数据采集管理</w:t>
      </w:r>
      <w:bookmarkEnd w:id="1235"/>
    </w:p>
    <w:p>
      <w:pPr>
        <w:pageBreakBefore w:val="off"/>
        <w:tabs/>
        <w:wordWrap w:val="off"/>
        <w:spacing w:before="340" w:after="0" w:line="820" w:lineRule="atLeast"/>
        <w:ind w:left="1180" w:right="0"/>
        <w:jc w:val="both"/>
        <w:textAlignment w:val="baseline"/>
        <w:rPr>
          <w:sz w:val="59"/>
        </w:rPr>
      </w:pPr>
      <w:bookmarkStart w:name="" w:id="1236"/>
      <w:r>
        <w:rPr>
          <w:rFonts w:ascii="楷体" w:hAnsi="楷体" w:cs="楷体" w:eastAsia="楷体"/>
          <w:sz w:val="59"/>
          <w:spacing w:val="0"/>
          <w:color w:val="000000"/>
          <w:b w:val="on"/>
          <w:i w:val="off"/>
        </w:rPr>
        <w:t>8.1用电信息采集系统管理要求</w:t>
      </w:r>
      <w:bookmarkEnd w:id="1236"/>
    </w:p>
    <w:p>
      <w:pPr>
        <w:pageBreakBefore w:val="off"/>
        <w:tabs/>
        <w:wordWrap w:val="off"/>
        <w:spacing w:before="0" w:after="0" w:line="1120" w:lineRule="atLeast"/>
        <w:ind w:left="0" w:right="0" w:firstLine="1240"/>
        <w:jc w:val="both"/>
        <w:textAlignment w:val="baseline"/>
        <w:rPr>
          <w:sz w:val="57"/>
        </w:rPr>
      </w:pPr>
      <w:bookmarkStart w:name="" w:id="1237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电网企业应建立用电信息采集系统实现现场计量数据的采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集、存储，进入电力市场交易的经营主体应配合实现计量装置的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接入与数据采集。用电信息采集系统应满足以下要求。</w:t>
      </w:r>
      <w:bookmarkEnd w:id="1237"/>
    </w:p>
    <w:p>
      <w:pPr>
        <w:pageBreakBefore w:val="off"/>
        <w:tabs/>
        <w:wordWrap w:val="off"/>
        <w:spacing w:before="0" w:after="0" w:line="1120" w:lineRule="atLeast"/>
        <w:ind w:left="0" w:right="40" w:firstLine="1420"/>
        <w:jc w:val="both"/>
        <w:textAlignment w:val="baseline"/>
        <w:rPr>
          <w:sz w:val="57"/>
        </w:rPr>
      </w:pPr>
      <w:bookmarkStart w:name="" w:id="1238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(1)用电信息采集系统范围应涵盖所有涉及市场结算的电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能计量装置，采集数据应满足现货市场交易结算数据需求。</w:t>
      </w:r>
      <w:bookmarkEnd w:id="1238"/>
    </w:p>
    <w:p>
      <w:pPr>
        <w:pageBreakBefore w:val="off"/>
        <w:tabs/>
        <w:wordWrap w:val="off"/>
        <w:spacing w:before="0" w:after="0" w:line="1120" w:lineRule="atLeast"/>
        <w:ind w:left="0" w:right="0" w:firstLine="1420"/>
        <w:jc w:val="both"/>
        <w:textAlignment w:val="baseline"/>
        <w:rPr>
          <w:sz w:val="57"/>
        </w:rPr>
      </w:pPr>
      <w:bookmarkStart w:name="" w:id="1239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(2)用电信息采集系统的数据来源应保证唯一性，所有数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据均来源于现场运行的计量装置的原始计量数据。</w:t>
      </w:r>
      <w:bookmarkEnd w:id="1239"/>
    </w:p>
    <w:p>
      <w:pPr>
        <w:pageBreakBefore w:val="off"/>
        <w:tabs/>
        <w:wordWrap w:val="off"/>
        <w:spacing w:before="0" w:after="0" w:line="1120" w:lineRule="atLeast"/>
        <w:ind w:left="0" w:right="40" w:firstLine="1420"/>
        <w:jc w:val="both"/>
        <w:textAlignment w:val="baseline"/>
        <w:rPr>
          <w:sz w:val="57"/>
        </w:rPr>
      </w:pPr>
      <w:bookmarkStart w:name="" w:id="1240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(3)市场结算用的计量数据，原则上应由用电信息采集系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统自动采集，用电信息采集系统应具有完善的数据校验功能。</w:t>
      </w:r>
      <w:bookmarkEnd w:id="1240"/>
    </w:p>
    <w:p>
      <w:pPr>
        <w:pageBreakBefore w:val="off"/>
        <w:tabs/>
        <w:wordWrap w:val="off"/>
        <w:spacing w:before="0" w:after="0" w:line="1120" w:lineRule="atLeast"/>
        <w:ind w:left="0" w:right="0" w:firstLine="1420"/>
        <w:jc w:val="both"/>
        <w:textAlignment w:val="baseline"/>
        <w:rPr>
          <w:sz w:val="57"/>
        </w:rPr>
      </w:pPr>
      <w:bookmarkStart w:name="" w:id="1241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(4)用电信息采集系统应具有稳定可靠的数据传输通道，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包括电能计量装置与用电信息采集系统之间、用电信息采集系统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与外部系统传输接口之间。</w:t>
      </w:r>
      <w:bookmarkEnd w:id="1241"/>
    </w:p>
    <w:p>
      <w:pPr>
        <w:pageBreakBefore w:val="off"/>
        <w:tabs/>
        <w:wordWrap w:val="off"/>
        <w:spacing w:before="0" w:after="0" w:line="1120" w:lineRule="atLeast"/>
        <w:ind w:left="0" w:right="0" w:firstLine="1420"/>
        <w:jc w:val="both"/>
        <w:textAlignment w:val="baseline"/>
        <w:rPr>
          <w:sz w:val="57"/>
        </w:rPr>
      </w:pPr>
      <w:bookmarkStart w:name="" w:id="1242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(5)用电信息采集系统应有应急或灾备系统，保障系统运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行出现故障后，能够迅速恢复并正常运行。</w:t>
      </w:r>
      <w:bookmarkEnd w:id="1242"/>
    </w:p>
    <w:p>
      <w:pPr>
        <w:pageBreakBefore w:val="off"/>
        <w:tabs/>
        <w:wordWrap w:val="off"/>
        <w:spacing w:before="0" w:after="0" w:line="840" w:lineRule="atLeast"/>
        <w:ind w:left="1180" w:right="0"/>
        <w:jc w:val="both"/>
        <w:textAlignment w:val="baseline"/>
        <w:rPr>
          <w:sz w:val="61"/>
        </w:rPr>
      </w:pPr>
      <w:bookmarkStart w:name="" w:id="1243"/>
      <w:r>
        <w:rPr>
          <w:rFonts w:ascii="楷体" w:hAnsi="楷体" w:cs="楷体" w:eastAsia="楷体"/>
          <w:sz w:val="61"/>
          <w:spacing w:val="0"/>
          <w:color w:val="000000"/>
          <w:b w:val="on"/>
          <w:i w:val="off"/>
        </w:rPr>
        <w:t>8.2计量数据异常处理</w:t>
      </w:r>
      <w:bookmarkEnd w:id="1243"/>
    </w:p>
    <w:p>
      <w:pPr>
        <w:pageBreakBefore w:val="off"/>
        <w:tabs/>
        <w:wordWrap w:val="off"/>
        <w:spacing w:before="0" w:after="0" w:line="1120" w:lineRule="atLeast"/>
        <w:ind w:left="1260" w:right="0"/>
        <w:jc w:val="both"/>
        <w:textAlignment w:val="baseline"/>
        <w:rPr>
          <w:sz w:val="57"/>
        </w:rPr>
      </w:pPr>
      <w:bookmarkStart w:name="" w:id="124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当计量装置计量时段无法满足结算时段要求时，由用电信息</w:t>
      </w:r>
      <w:bookmarkEnd w:id="1244"/>
    </w:p>
    <w:p>
      <w:pPr>
        <w:pageBreakBefore w:val="off"/>
        <w:tabs/>
        <w:wordWrap w:val="off"/>
        <w:spacing w:before="0" w:after="0" w:line="1140" w:lineRule="exact"/>
        <w:ind w:left="0" w:right="0"/>
        <w:jc w:val="both"/>
        <w:textAlignment w:val="baseline"/>
        <w:rPr>
          <w:sz w:val="57"/>
        </w:rPr>
      </w:pPr>
      <w:bookmarkStart w:name="" w:id="1245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245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124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8</w:t>
      </w:r>
      <w:bookmarkEnd w:id="1246"/>
    </w:p>
    <w:p>
      <w:r>
        <w:t/>
      </w:r>
    </w:p>
    <w:p>
      <w:pPr>
        <w:sectPr>
          <w:footerReference r:id="rId25"/>
          <w:headerReference r:id="rId26" w:type="default"/>
          <w:type w:val="nextPage"/>
          <w:pgSz w:w="22400" w:h="31680"/>
          <w:pgMar w:left="2900" w:top="2260" w:right="2900" w:bottom="2260" w:header="1960" w:footer="1960"/>
          <w:cols w:num="1"/>
        </w:sectPr>
      </w:pPr>
    </w:p>
    <w:p>
      <w:pPr>
        <w:pageBreakBefore w:val="off"/>
        <w:tabs/>
        <w:wordWrap w:val="off"/>
        <w:spacing w:before="600" w:after="0" w:line="1060" w:lineRule="atLeast"/>
        <w:ind w:left="0" w:right="0"/>
        <w:jc w:val="both"/>
        <w:textAlignment w:val="baseline"/>
        <w:rPr>
          <w:sz w:val="58"/>
        </w:rPr>
      </w:pPr>
      <w:bookmarkStart w:name="" w:id="124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采集系统进行电量数据拟合。当自动采集数据不完整时，由用电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信息采集系统根据拟合规则补全电量数据。当计量装置异常或者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出现故障而影响电能计量时，应在规定时间内完成现场处理，计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量装置管理机构依据相关规则出具示值更正报告，由交易机构组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织相关经营主体确认后进行电量追退补。</w:t>
      </w:r>
      <w:bookmarkEnd w:id="1247"/>
    </w:p>
    <w:p>
      <w:pPr>
        <w:pageBreakBefore w:val="off"/>
        <w:tabs/>
        <w:wordWrap w:val="off"/>
        <w:spacing w:before="0" w:after="0" w:line="880" w:lineRule="atLeast"/>
        <w:ind w:left="1200" w:right="0"/>
        <w:jc w:val="both"/>
        <w:textAlignment w:val="baseline"/>
        <w:rPr>
          <w:sz w:val="66"/>
        </w:rPr>
      </w:pPr>
      <w:bookmarkStart w:name="" w:id="1248"/>
      <w:r>
        <w:rPr>
          <w:rFonts w:ascii="黑体" w:hAnsi="黑体" w:cs="黑体" w:eastAsia="黑体"/>
          <w:sz w:val="66"/>
          <w:spacing w:val="0"/>
          <w:color w:val="000000"/>
          <w:b w:val="on"/>
          <w:i w:val="off"/>
        </w:rPr>
        <w:t>9.数据拟合规则</w:t>
      </w:r>
      <w:bookmarkEnd w:id="1248"/>
    </w:p>
    <w:p>
      <w:pPr>
        <w:pageBreakBefore w:val="off"/>
        <w:tabs/>
        <w:wordWrap w:val="off"/>
        <w:spacing w:before="360" w:after="0" w:line="840" w:lineRule="atLeast"/>
        <w:ind w:left="1200" w:right="0"/>
        <w:jc w:val="both"/>
        <w:textAlignment w:val="baseline"/>
        <w:rPr>
          <w:sz w:val="59"/>
        </w:rPr>
      </w:pPr>
      <w:bookmarkStart w:name="" w:id="1249"/>
      <w:r>
        <w:rPr>
          <w:rFonts w:ascii="楷体" w:hAnsi="楷体" w:cs="楷体" w:eastAsia="楷体"/>
          <w:sz w:val="59"/>
          <w:spacing w:val="0"/>
          <w:color w:val="000000"/>
          <w:b w:val="on"/>
          <w:i w:val="off"/>
        </w:rPr>
        <w:t>9.1以报量报价方式参与市场交易的经营主体</w:t>
      </w:r>
      <w:bookmarkEnd w:id="1249"/>
    </w:p>
    <w:p>
      <w:pPr>
        <w:pageBreakBefore w:val="off"/>
        <w:tabs/>
        <w:wordWrap w:val="off"/>
        <w:spacing w:before="0" w:after="0" w:line="1060" w:lineRule="atLeast"/>
        <w:ind w:left="0" w:right="0" w:firstLine="1440"/>
        <w:jc w:val="both"/>
        <w:textAlignment w:val="baseline"/>
        <w:rPr>
          <w:sz w:val="58"/>
        </w:rPr>
      </w:pPr>
      <w:bookmarkStart w:name="" w:id="125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(1)当关口点主表采集数据缺失时，则所缺电能示值采用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该关口点副表数据进行近似拟合，拟合时以副表同一时段电能示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值走字进行计算后，补全至主表所缺数据点。如无副表，直接跳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至(3)。</w:t>
      </w:r>
      <w:bookmarkEnd w:id="1250"/>
    </w:p>
    <w:p>
      <w:pPr>
        <w:pageBreakBefore w:val="off"/>
        <w:tabs/>
        <w:wordWrap w:val="off"/>
        <w:spacing w:before="0" w:after="0" w:line="1060" w:lineRule="atLeast"/>
        <w:ind w:left="0" w:right="0" w:firstLine="1440"/>
        <w:jc w:val="both"/>
        <w:textAlignment w:val="baseline"/>
        <w:rPr>
          <w:sz w:val="58"/>
        </w:rPr>
      </w:pPr>
      <w:bookmarkStart w:name="" w:id="125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(2)当关口点主、副表均采集失败时，连续时间点内缺点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数小于等于30分钟，则取表计缺点区间内前后时间点的电能示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值算术平均值进行拟合。</w:t>
      </w:r>
      <w:bookmarkEnd w:id="1251"/>
    </w:p>
    <w:p>
      <w:pPr>
        <w:pageBreakBefore w:val="off"/>
        <w:tabs/>
        <w:wordWrap w:val="off"/>
        <w:spacing w:before="0" w:after="0" w:line="1060" w:lineRule="atLeast"/>
        <w:ind w:left="0" w:right="0" w:firstLine="1440"/>
        <w:jc w:val="both"/>
        <w:textAlignment w:val="baseline"/>
        <w:rPr>
          <w:sz w:val="58"/>
        </w:rPr>
      </w:pPr>
      <w:bookmarkStart w:name="" w:id="125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(3)当关口点主、副表均采集失败时，连续时间点内缺点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数大于30分钟，如为发电机组或上网关口，则根据缺点区间内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机组或场站每15分钟实时市场出清电量进行近似拟合，拟合示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值形成的电量曲线与 D 日的实时市场出清电量曲线比例保持一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致；如为新能源集电线路关口或分期计量关口，则根据缺点区间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内场站每15分钟实时市场出清电量进行近似拟合，拟合示值形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成的电量曲线与D 日的实时市场出清电量曲线比例保持一致。</w:t>
      </w:r>
      <w:bookmarkEnd w:id="1252"/>
    </w:p>
    <w:p>
      <w:pPr>
        <w:pageBreakBefore w:val="off"/>
        <w:tabs/>
        <w:wordWrap w:val="off"/>
        <w:spacing w:before="0" w:after="0" w:line="1060" w:lineRule="atLeast"/>
        <w:ind w:left="1440" w:right="0"/>
        <w:jc w:val="both"/>
        <w:textAlignment w:val="baseline"/>
        <w:rPr>
          <w:sz w:val="58"/>
        </w:rPr>
      </w:pPr>
      <w:bookmarkStart w:name="" w:id="125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(4)针对电表更换的表计按以下规则拟合：</w:t>
      </w:r>
      <w:bookmarkEnd w:id="1253"/>
    </w:p>
    <w:p>
      <w:pPr>
        <w:pageBreakBefore w:val="off"/>
        <w:tabs/>
        <w:wordWrap w:val="off"/>
        <w:spacing w:before="0" w:after="0" w:line="1060" w:lineRule="atLeast"/>
        <w:ind w:left="1200" w:right="0"/>
        <w:jc w:val="both"/>
        <w:textAlignment w:val="baseline"/>
        <w:rPr>
          <w:sz w:val="58"/>
        </w:rPr>
      </w:pPr>
      <w:bookmarkStart w:name="" w:id="125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1)对于电表更换流程当日归档的电表，以现场拆表时间为</w:t>
      </w:r>
      <w:bookmarkEnd w:id="1254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8"/>
        </w:rPr>
      </w:pPr>
      <w:bookmarkStart w:name="" w:id="1255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255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1256"/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9</w:t>
      </w:r>
      <w:bookmarkEnd w:id="1256"/>
    </w:p>
    <w:p>
      <w:r>
        <w:t/>
      </w:r>
    </w:p>
    <w:p>
      <w:pPr>
        <w:sectPr>
          <w:footerReference r:id="rId27"/>
          <w:headerReference r:id="rId28" w:type="default"/>
          <w:type w:val="nextPage"/>
          <w:pgSz w:w="22400" w:h="31680"/>
          <w:pgMar w:left="2900" w:top="2240" w:right="2900" w:bottom="2240" w:header="1940" w:footer="1940"/>
          <w:cols w:num="1"/>
        </w:sectPr>
      </w:pPr>
    </w:p>
    <w:p>
      <w:pPr>
        <w:pageBreakBefore w:val="off"/>
        <w:tabs/>
        <w:wordWrap w:val="off"/>
        <w:spacing w:before="440" w:after="0" w:line="1080" w:lineRule="atLeast"/>
        <w:ind w:left="0" w:right="0"/>
        <w:jc w:val="both"/>
        <w:textAlignment w:val="baseline"/>
        <w:rPr>
          <w:sz w:val="60"/>
        </w:rPr>
      </w:pPr>
      <w:bookmarkStart w:name="" w:id="125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准，旧表拆除后的电能示值以拆码为准按照0电量拟合电能示值，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拆表前没有采集回来的曲线数据，则按拟合规则(1)—(3)进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行补全；新表以现场拆表时间为准，拆表前电能示值拟合为0，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拆表后没有采集回来的曲线数据，则按拟合规则(1)—(3)进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行补全。</w:t>
      </w:r>
      <w:bookmarkEnd w:id="1257"/>
    </w:p>
    <w:p>
      <w:pPr>
        <w:pageBreakBefore w:val="off"/>
        <w:tabs/>
        <w:wordWrap w:val="off"/>
        <w:spacing w:before="0" w:after="0" w:line="1080" w:lineRule="atLeast"/>
        <w:ind w:left="0" w:right="0" w:firstLine="1180"/>
        <w:jc w:val="both"/>
        <w:textAlignment w:val="baseline"/>
        <w:rPr>
          <w:sz w:val="60"/>
        </w:rPr>
      </w:pPr>
      <w:bookmarkStart w:name="" w:id="1258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2)对于电表更换流程跨日归档的电表，归档日前的日曲线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数据，将新表的每15分钟电能示值走字叠加至旧表进行拟合，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如出现缺点，则按拟合规则(1)—(3)进行补全；归档日当天，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旧表按照0电量拟合电能示值，新表以采集回来的曲线数据为准，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如出现缺点，则按拟合规则(1)—(3)进行补全。</w:t>
      </w:r>
      <w:bookmarkEnd w:id="1258"/>
    </w:p>
    <w:p>
      <w:pPr>
        <w:pageBreakBefore w:val="off"/>
        <w:tabs/>
        <w:wordWrap w:val="off"/>
        <w:spacing w:before="0" w:after="0" w:line="1080" w:lineRule="atLeast"/>
        <w:ind w:left="0" w:right="0"/>
        <w:jc w:val="center"/>
        <w:textAlignment w:val="baseline"/>
        <w:rPr>
          <w:sz w:val="60"/>
        </w:rPr>
      </w:pPr>
      <w:bookmarkStart w:name="" w:id="1259"/>
      <w:r>
        <w:rPr>
          <w:rFonts w:ascii="楷体" w:hAnsi="楷体" w:cs="楷体" w:eastAsia="楷体"/>
          <w:sz w:val="60"/>
          <w:spacing w:val="0"/>
          <w:color w:val="000000"/>
          <w:b w:val="on"/>
          <w:i w:val="off"/>
        </w:rPr>
        <w:t>9.2报量不报价方式参与市场交易的经营主体</w:t>
      </w:r>
      <w:bookmarkEnd w:id="1259"/>
    </w:p>
    <w:p>
      <w:pPr>
        <w:pageBreakBefore w:val="off"/>
        <w:tabs/>
        <w:wordWrap w:val="off"/>
        <w:spacing w:before="0" w:after="0" w:line="1080" w:lineRule="atLeast"/>
        <w:ind w:left="1160" w:right="0" w:firstLine="20"/>
        <w:jc w:val="both"/>
        <w:textAlignment w:val="baseline"/>
        <w:rPr>
          <w:sz w:val="60"/>
        </w:rPr>
      </w:pPr>
      <w:bookmarkStart w:name="" w:id="1260"/>
      <w:r>
        <w:rPr>
          <w:rFonts w:ascii="楷体" w:hAnsi="楷体" w:cs="楷体" w:eastAsia="楷体"/>
          <w:sz w:val="60"/>
          <w:spacing w:val="0"/>
          <w:color w:val="000000"/>
          <w:b w:val="on"/>
          <w:i w:val="off"/>
        </w:rPr>
        <w:t>9.2.1</w:t>
      </w:r>
      <w:r>
        <w:rPr>
          <w:rFonts w:ascii="楷体" w:hAnsi="楷体" w:cs="楷体" w:eastAsia="楷体"/>
          <w:sz w:val="60"/>
          <w:spacing w:val="0"/>
          <w:color w:val="000000"/>
          <w:b w:val="off"/>
          <w:i w:val="off"/>
        </w:rPr>
        <w:t xml:space="preserve"> </w:t>
      </w:r>
      <w:r>
        <w:rPr>
          <w:rFonts w:ascii="楷体" w:hAnsi="楷体" w:cs="楷体" w:eastAsia="楷体"/>
          <w:sz w:val="60"/>
          <w:spacing w:val="0"/>
          <w:color w:val="000000"/>
          <w:b w:val="on"/>
          <w:i w:val="off"/>
        </w:rPr>
        <w:t>独立储能电站</w:t>
      </w:r>
      <w:bookmarkEnd w:id="1260"/>
    </w:p>
    <w:p>
      <w:pPr>
        <w:pageBreakBefore w:val="off"/>
        <w:tabs/>
        <w:wordWrap w:val="off"/>
        <w:spacing w:before="0" w:after="0" w:line="1080" w:lineRule="atLeast"/>
        <w:ind w:left="0" w:right="220" w:firstLine="1440"/>
        <w:jc w:val="both"/>
        <w:textAlignment w:val="baseline"/>
        <w:rPr>
          <w:sz w:val="60"/>
        </w:rPr>
      </w:pPr>
      <w:bookmarkStart w:name="" w:id="1261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(1)当关口点主表采集数据缺失时，则所缺电能示值采用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该关口点副表数据进行近似拟合，拟合时以副表同一时段电能示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值走字进行计算后，补全至主表所缺数据点。如无副表，直接跳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至(3)。</w:t>
      </w:r>
      <w:bookmarkEnd w:id="1261"/>
    </w:p>
    <w:p>
      <w:pPr>
        <w:pageBreakBefore w:val="off"/>
        <w:tabs/>
        <w:wordWrap w:val="off"/>
        <w:spacing w:before="0" w:after="0" w:line="1080" w:lineRule="atLeast"/>
        <w:ind w:left="0" w:right="260" w:firstLine="1440"/>
        <w:jc w:val="both"/>
        <w:textAlignment w:val="baseline"/>
        <w:rPr>
          <w:sz w:val="60"/>
        </w:rPr>
      </w:pPr>
      <w:bookmarkStart w:name="" w:id="1262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(2)当关口点主、副表均采集失败时，连续时间点内缺点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数小于等于30分钟，则取表计缺点区间内前后时间点的电能示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值算术平均值进行拟合。</w:t>
      </w:r>
      <w:bookmarkEnd w:id="1262"/>
    </w:p>
    <w:p>
      <w:pPr>
        <w:pageBreakBefore w:val="off"/>
        <w:tabs/>
        <w:wordWrap w:val="off"/>
        <w:spacing w:before="0" w:after="0" w:line="1080" w:lineRule="atLeast"/>
        <w:ind w:left="0" w:right="280" w:firstLine="1440"/>
        <w:jc w:val="both"/>
        <w:textAlignment w:val="baseline"/>
        <w:rPr>
          <w:sz w:val="60"/>
        </w:rPr>
      </w:pPr>
      <w:bookmarkStart w:name="" w:id="126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(3)当关口点主、副表均采集失败时，连续时间点内缺点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数大于30分钟，如为充放电结算关口，则根据缺点区间内场站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每15分钟日前市场出清电量进行近似拟合，拟合示值形成的电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量曲线与D日的日前市场出清电量曲线比例保持一致；如为站</w:t>
      </w:r>
      <w:bookmarkEnd w:id="1263"/>
    </w:p>
    <w:p>
      <w:pPr>
        <w:pageBreakBefore w:val="off"/>
        <w:tabs/>
        <w:wordWrap w:val="off"/>
        <w:spacing w:before="0" w:after="0" w:line="600" w:lineRule="exact"/>
        <w:ind w:left="0" w:right="0"/>
        <w:jc w:val="both"/>
        <w:textAlignment w:val="baseline"/>
        <w:rPr>
          <w:sz w:val="52"/>
        </w:rPr>
      </w:pPr>
      <w:bookmarkStart w:name="" w:id="126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264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126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10</w:t>
      </w:r>
      <w:bookmarkEnd w:id="1265"/>
    </w:p>
    <w:p>
      <w:r>
        <w:t/>
      </w:r>
    </w:p>
    <w:p>
      <w:pPr>
        <w:sectPr>
          <w:footerReference r:id="rId29"/>
          <w:headerReference r:id="rId30" w:type="default"/>
          <w:type w:val="nextPage"/>
          <w:pgSz w:w="22400" w:h="31680"/>
          <w:pgMar w:left="2660" w:top="2240" w:right="2660" w:bottom="2240" w:header="1940" w:footer="1940"/>
          <w:cols w:num="1"/>
        </w:sectPr>
      </w:pPr>
    </w:p>
    <w:p>
      <w:pPr>
        <w:pageBreakBefore w:val="off"/>
        <w:tabs/>
        <w:wordWrap w:val="off"/>
        <w:spacing w:before="640" w:after="0" w:line="1140" w:lineRule="atLeast"/>
        <w:ind w:left="0" w:right="260"/>
        <w:jc w:val="both"/>
        <w:textAlignment w:val="baseline"/>
        <w:rPr>
          <w:sz w:val="60"/>
        </w:rPr>
      </w:pPr>
      <w:bookmarkStart w:name="" w:id="1266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用变或备供电源关口，则根据缺点区间内 D-1日的电能示值曲线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进行近似拟合，拟合示值形成的电量曲线与 D-1日的电量曲线比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例保持一致。</w:t>
      </w:r>
      <w:bookmarkEnd w:id="1266"/>
    </w:p>
    <w:p>
      <w:pPr>
        <w:pageBreakBefore w:val="off"/>
        <w:tabs/>
        <w:wordWrap w:val="off"/>
        <w:spacing w:before="0" w:after="0" w:line="1140" w:lineRule="atLeast"/>
        <w:ind w:left="1440" w:right="0"/>
        <w:jc w:val="both"/>
        <w:textAlignment w:val="baseline"/>
        <w:rPr>
          <w:sz w:val="60"/>
        </w:rPr>
      </w:pPr>
      <w:bookmarkStart w:name="" w:id="126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(4)针对电表更换的表计按以下规则拟合：</w:t>
      </w:r>
      <w:bookmarkEnd w:id="1267"/>
    </w:p>
    <w:p>
      <w:pPr>
        <w:pageBreakBefore w:val="off"/>
        <w:tabs/>
        <w:wordWrap w:val="off"/>
        <w:spacing w:before="460" w:after="0" w:line="1140" w:lineRule="atLeast"/>
        <w:ind w:left="0" w:right="0" w:firstLine="1240"/>
        <w:jc w:val="both"/>
        <w:textAlignment w:val="baseline"/>
        <w:rPr>
          <w:sz w:val="60"/>
        </w:rPr>
      </w:pPr>
      <w:bookmarkStart w:name="" w:id="1268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1)对于电表更换流程当日归档的电表，以现场拆表时间为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准，旧表拆除后的电能示值以拆码为准按照0电量拟合电能示值，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拆表前没有采集回来的曲线数据，则按拟合规则(1)—(3)进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行补全；新表以现场拆表时间为准，拆表前电能示值拟合为0，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拆表后没有采集回来的曲线数据，则按拟合规则(1)—(3)进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行补全。</w:t>
      </w:r>
      <w:bookmarkEnd w:id="1268"/>
    </w:p>
    <w:p>
      <w:pPr>
        <w:pageBreakBefore w:val="off"/>
        <w:tabs/>
        <w:wordWrap w:val="off"/>
        <w:spacing w:before="0" w:after="0" w:line="1140" w:lineRule="atLeast"/>
        <w:ind w:left="0" w:right="0" w:firstLine="1160"/>
        <w:jc w:val="both"/>
        <w:textAlignment w:val="baseline"/>
        <w:rPr>
          <w:sz w:val="60"/>
        </w:rPr>
      </w:pPr>
      <w:bookmarkStart w:name="" w:id="1269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2)对于电表更换流程跨日归档的电表，归档日前的日曲线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数据，将新表的每15分钟电能示值走字叠加至旧表进行拟合，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如出现缺点，则按拟合规则(1)—(3)进行补全；归档日当天，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旧表按照0电量拟合电能示值，新表以采集回来的曲线数据为准，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如出现缺点，则按拟合规则(1)—(3)进行补全。</w:t>
      </w:r>
      <w:bookmarkEnd w:id="1269"/>
    </w:p>
    <w:p>
      <w:pPr>
        <w:pageBreakBefore w:val="off"/>
        <w:tabs/>
        <w:wordWrap w:val="off"/>
        <w:spacing w:before="440" w:after="0" w:line="820" w:lineRule="atLeast"/>
        <w:ind w:left="1160" w:right="0"/>
        <w:jc w:val="both"/>
        <w:textAlignment w:val="baseline"/>
        <w:rPr>
          <w:sz w:val="59"/>
        </w:rPr>
      </w:pPr>
      <w:bookmarkStart w:name="" w:id="1270"/>
      <w:r>
        <w:rPr>
          <w:rFonts w:ascii="宋体" w:hAnsi="宋体" w:cs="宋体" w:eastAsia="宋体"/>
          <w:sz w:val="59"/>
          <w:spacing w:val="0"/>
          <w:color w:val="000000"/>
          <w:b w:val="on"/>
          <w:i w:val="off"/>
        </w:rPr>
        <w:t>9.2.2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9"/>
          <w:spacing w:val="0"/>
          <w:color w:val="000000"/>
          <w:b w:val="on"/>
          <w:i w:val="off"/>
        </w:rPr>
        <w:t>虚拟电厂</w:t>
      </w:r>
      <w:bookmarkEnd w:id="1270"/>
    </w:p>
    <w:p>
      <w:pPr>
        <w:pageBreakBefore w:val="off"/>
        <w:tabs/>
        <w:wordWrap w:val="off"/>
        <w:spacing w:before="0" w:after="0" w:line="1140" w:lineRule="atLeast"/>
        <w:ind w:left="0" w:right="240" w:firstLine="1240"/>
        <w:jc w:val="both"/>
        <w:textAlignment w:val="baseline"/>
        <w:rPr>
          <w:sz w:val="60"/>
        </w:rPr>
      </w:pPr>
      <w:bookmarkStart w:name="" w:id="1271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当虚拟电厂发电单元和用电单元采集数据缺失时，发电单元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拟合规则参照9.3.2执行，用电单元拟合规则参照9.3.1执行。</w:t>
      </w:r>
      <w:bookmarkEnd w:id="1271"/>
    </w:p>
    <w:p>
      <w:pPr>
        <w:pageBreakBefore w:val="off"/>
        <w:tabs/>
        <w:wordWrap w:val="off"/>
        <w:spacing w:before="440" w:after="0" w:line="800" w:lineRule="atLeast"/>
        <w:ind w:left="1160" w:right="0"/>
        <w:jc w:val="both"/>
        <w:textAlignment w:val="baseline"/>
        <w:rPr>
          <w:sz w:val="59"/>
        </w:rPr>
      </w:pPr>
      <w:bookmarkStart w:name="" w:id="1272"/>
      <w:r>
        <w:rPr>
          <w:rFonts w:ascii="宋体" w:hAnsi="宋体" w:cs="宋体" w:eastAsia="宋体"/>
          <w:sz w:val="59"/>
          <w:spacing w:val="0"/>
          <w:color w:val="000000"/>
          <w:b w:val="on"/>
          <w:i w:val="off"/>
        </w:rPr>
        <w:t>9.3不报量不报价方式参与市场交易的经营主体</w:t>
      </w:r>
      <w:bookmarkEnd w:id="1272"/>
    </w:p>
    <w:p>
      <w:pPr>
        <w:pageBreakBefore w:val="off"/>
        <w:tabs/>
        <w:wordWrap w:val="off"/>
        <w:spacing w:before="420" w:after="0" w:line="840" w:lineRule="atLeast"/>
        <w:ind w:left="1160" w:right="0"/>
        <w:jc w:val="both"/>
        <w:textAlignment w:val="baseline"/>
        <w:rPr>
          <w:sz w:val="59"/>
        </w:rPr>
      </w:pPr>
      <w:bookmarkStart w:name="" w:id="1273"/>
      <w:r>
        <w:rPr>
          <w:rFonts w:ascii="宋体" w:hAnsi="宋体" w:cs="宋体" w:eastAsia="宋体"/>
          <w:sz w:val="59"/>
          <w:spacing w:val="0"/>
          <w:color w:val="000000"/>
          <w:b w:val="on"/>
          <w:i w:val="off"/>
        </w:rPr>
        <w:t>9.3.1</w:t>
      </w:r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 xml:space="preserve"> </w:t>
      </w:r>
      <w:r>
        <w:rPr>
          <w:rFonts w:ascii="宋体" w:hAnsi="宋体" w:cs="宋体" w:eastAsia="宋体"/>
          <w:sz w:val="59"/>
          <w:spacing w:val="0"/>
          <w:color w:val="000000"/>
          <w:b w:val="on"/>
          <w:i w:val="off"/>
        </w:rPr>
        <w:t>用户侧(含售电公司)</w:t>
      </w:r>
      <w:bookmarkEnd w:id="1273"/>
    </w:p>
    <w:p>
      <w:pPr>
        <w:pageBreakBefore w:val="off"/>
        <w:tabs/>
        <w:wordWrap w:val="off"/>
        <w:spacing w:before="0" w:after="0" w:line="1140" w:lineRule="atLeast"/>
        <w:ind w:left="0" w:right="220" w:firstLine="1400"/>
        <w:jc w:val="both"/>
        <w:textAlignment w:val="baseline"/>
        <w:rPr>
          <w:sz w:val="60"/>
        </w:rPr>
      </w:pPr>
      <w:bookmarkStart w:name="" w:id="1274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(1)当连续时间点内缺点数小于等于2小时，取该表计缺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点区间内前后时间点的电能示值算术平均值进行拟合。</w:t>
      </w:r>
      <w:bookmarkEnd w:id="1274"/>
    </w:p>
    <w:p>
      <w:pPr>
        <w:pageBreakBefore w:val="off"/>
        <w:tabs/>
        <w:wordWrap w:val="off"/>
        <w:spacing w:before="820" w:after="0" w:line="580" w:lineRule="atLeast"/>
        <w:ind w:left="0" w:right="0"/>
        <w:jc w:val="center"/>
        <w:textAlignment w:val="baseline"/>
        <w:rPr>
          <w:sz w:val="43"/>
        </w:rPr>
      </w:pPr>
      <w:bookmarkStart w:name="" w:id="1275"/>
      <w:r>
        <w:rPr>
          <w:rFonts w:ascii="宋体" w:hAnsi="宋体" w:cs="宋体" w:eastAsia="宋体"/>
          <w:sz w:val="43"/>
          <w:spacing w:val="0"/>
          <w:color w:val="000000"/>
          <w:b w:val="off"/>
          <w:i w:val="off"/>
        </w:rPr>
        <w:t>11</w:t>
      </w:r>
      <w:bookmarkEnd w:id="1275"/>
    </w:p>
    <w:p>
      <w:r>
        <w:t/>
      </w:r>
    </w:p>
    <w:p>
      <w:pPr>
        <w:sectPr>
          <w:footerReference r:id="rId31"/>
          <w:headerReference r:id="rId32" w:type="default"/>
          <w:type w:val="nextPage"/>
          <w:pgSz w:w="22400" w:h="31680"/>
          <w:pgMar w:left="2780" w:top="2280" w:right="2780" w:bottom="2280" w:header="1980" w:footer="1980"/>
          <w:cols w:num="1"/>
        </w:sectPr>
      </w:pPr>
    </w:p>
    <w:p>
      <w:pPr>
        <w:pageBreakBefore w:val="off"/>
        <w:tabs/>
        <w:wordWrap w:val="off"/>
        <w:spacing w:before="440" w:after="0" w:line="1060" w:lineRule="atLeast"/>
        <w:ind w:left="0" w:right="0" w:firstLine="1440"/>
        <w:jc w:val="both"/>
        <w:textAlignment w:val="baseline"/>
        <w:rPr>
          <w:sz w:val="59"/>
        </w:rPr>
      </w:pPr>
      <w:bookmarkStart w:name="" w:id="127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(2)当连续时间点内缺点数大于2小时，取该表计同期的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电能示值进行近似拟合，拟合示值形成的电量曲线与同期日的电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量平均值曲线比例保持一致。按日期属性分为三种：一是工作日，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二是双休日，三是国家法定节假日(元旦、清明、五一、端午、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中秋、国庆、春节)。具体拟合规则如下：如果缺点时间段区间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在工作日内，根据前推4个同期日数据的平均值拟合处理。如果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缺点时间段区间在双休日内，根据前推4个双休日数据的平均值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拟合处理。如果缺点时间段区间在法定节假日内，根据去年同类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型节假日区间数据拟合处理。如果没有历史类比数据的区分大小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长假，可以参考上一个大小长假数据拟合处理。无4个同期日和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节假日新报装用户，采用近1月内电能示值的平均值拟合。</w:t>
      </w:r>
      <w:bookmarkEnd w:id="1276"/>
    </w:p>
    <w:p>
      <w:pPr>
        <w:pageBreakBefore w:val="off"/>
        <w:tabs/>
        <w:wordWrap w:val="off"/>
        <w:spacing w:before="0" w:after="0" w:line="1060" w:lineRule="atLeast"/>
        <w:ind w:left="0" w:right="0" w:firstLine="1160"/>
        <w:jc w:val="both"/>
        <w:textAlignment w:val="baseline"/>
        <w:rPr>
          <w:sz w:val="59"/>
        </w:rPr>
      </w:pPr>
      <w:bookmarkStart w:name="" w:id="127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拟合时取值范围优先使用采集回来的曲线数据进行拟合，若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采集回来的数据缺点，则用之前已拟合的数据进行拟合。</w:t>
      </w:r>
      <w:bookmarkEnd w:id="1277"/>
    </w:p>
    <w:p>
      <w:pPr>
        <w:pageBreakBefore w:val="off"/>
        <w:tabs/>
        <w:wordWrap w:val="off"/>
        <w:spacing w:before="0" w:after="0" w:line="1060" w:lineRule="atLeast"/>
        <w:ind w:left="0" w:right="0" w:firstLine="1440"/>
        <w:jc w:val="both"/>
        <w:textAlignment w:val="baseline"/>
        <w:rPr>
          <w:sz w:val="59"/>
        </w:rPr>
      </w:pPr>
      <w:bookmarkStart w:name="" w:id="127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(3)因设备原因导致示值曲线冻结异常，异常点曲线值视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为缺点，按拟合规则(1)(2)进行拟合补全。</w:t>
      </w:r>
      <w:bookmarkEnd w:id="1278"/>
    </w:p>
    <w:p>
      <w:pPr>
        <w:pageBreakBefore w:val="off"/>
        <w:tabs/>
        <w:wordWrap w:val="off"/>
        <w:spacing w:before="0" w:after="0" w:line="1060" w:lineRule="atLeast"/>
        <w:ind w:left="0" w:right="40" w:firstLine="1440"/>
        <w:jc w:val="both"/>
        <w:textAlignment w:val="baseline"/>
        <w:rPr>
          <w:sz w:val="59"/>
        </w:rPr>
      </w:pPr>
      <w:bookmarkStart w:name="" w:id="127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(4)对于运行表计，电能示值曲线数据缺失，但有日冻结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数据，且前后两日日冻结数据一致，则按日冻结数据拟合零电量；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电能示值曲线缺点区间前后两个点数据一致的，缺点区间都按照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该数据拟合零电量。</w:t>
      </w:r>
      <w:bookmarkEnd w:id="1279"/>
    </w:p>
    <w:p>
      <w:pPr>
        <w:pageBreakBefore w:val="off"/>
        <w:tabs/>
        <w:wordWrap w:val="off"/>
        <w:spacing w:before="0" w:after="0" w:line="1060" w:lineRule="atLeast"/>
        <w:ind w:left="0" w:right="0" w:firstLine="1440"/>
        <w:jc w:val="both"/>
        <w:textAlignment w:val="baseline"/>
        <w:rPr>
          <w:sz w:val="59"/>
        </w:rPr>
      </w:pPr>
      <w:bookmarkStart w:name="" w:id="128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(5)对于因用户原因报停的电能表，应按全暂停流程中录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入的现场特抄表码或停用前最后一次正常采集的表码拟合零电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量；用户暂停或停用恢复后采集到的第一点电量“划零”处理，“划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零”部分计入月度调平电量。</w:t>
      </w:r>
      <w:bookmarkEnd w:id="1280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9"/>
        </w:rPr>
      </w:pPr>
      <w:bookmarkStart w:name="" w:id="1281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281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128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12</w:t>
      </w:r>
      <w:bookmarkEnd w:id="1282"/>
    </w:p>
    <w:p>
      <w:r>
        <w:t/>
      </w:r>
    </w:p>
    <w:p>
      <w:pPr>
        <w:sectPr>
          <w:footerReference r:id="rId33"/>
          <w:headerReference r:id="rId34" w:type="default"/>
          <w:type w:val="nextPage"/>
          <w:pgSz w:w="22400" w:h="31680"/>
          <w:pgMar w:left="2780" w:top="2240" w:right="2780" w:bottom="2240" w:header="1940" w:footer="1940"/>
          <w:cols w:num="1"/>
        </w:sectPr>
      </w:pPr>
    </w:p>
    <w:p>
      <w:pPr>
        <w:pageBreakBefore w:val="off"/>
        <w:tabs/>
        <w:wordWrap w:val="off"/>
        <w:spacing w:before="440" w:after="0" w:line="1080" w:lineRule="atLeast"/>
        <w:ind w:left="20" w:right="0" w:firstLine="1440"/>
        <w:jc w:val="both"/>
        <w:textAlignment w:val="baseline"/>
        <w:rPr>
          <w:sz w:val="59"/>
        </w:rPr>
      </w:pPr>
      <w:bookmarkStart w:name="" w:id="128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(6)针对拆除计量点流程表计、销户流程表计和电表更换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流程跨日归档的表计按以下规则拟合：</w:t>
      </w:r>
      <w:bookmarkEnd w:id="1283"/>
    </w:p>
    <w:p>
      <w:pPr>
        <w:pageBreakBefore w:val="off"/>
        <w:tabs/>
        <w:wordWrap w:val="off"/>
        <w:spacing w:before="0" w:after="0" w:line="1080" w:lineRule="atLeast"/>
        <w:ind w:left="20" w:right="20" w:firstLine="1180"/>
        <w:jc w:val="both"/>
        <w:textAlignment w:val="baseline"/>
        <w:rPr>
          <w:sz w:val="59"/>
        </w:rPr>
      </w:pPr>
      <w:bookmarkStart w:name="" w:id="128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1.拆除计量点的表计与销户表计，表计最后一次正常采集的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值与营销档案(计度器凭证)表格中的拆表止码值之间的电量，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在最后采集时刻与拆表止码录入时刻之间的每个整点按平均拟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合，拆码录入时刻后，按拆表止码值进行0电量拟合推送；如旧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表在换表时间之前存在缺点，则按拟合规则(1)(2)进行补全。</w:t>
      </w:r>
      <w:bookmarkEnd w:id="1284"/>
    </w:p>
    <w:p>
      <w:pPr>
        <w:pageBreakBefore w:val="off"/>
        <w:tabs/>
        <w:wordWrap w:val="off"/>
        <w:spacing w:before="0" w:after="0" w:line="1080" w:lineRule="atLeast"/>
        <w:ind w:left="20" w:right="0" w:firstLine="1180"/>
        <w:jc w:val="both"/>
        <w:textAlignment w:val="baseline"/>
        <w:rPr>
          <w:sz w:val="59"/>
        </w:rPr>
      </w:pPr>
      <w:bookmarkStart w:name="" w:id="128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2.换表流程跨日归档电表分为新表、旧表，其中新表归档当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日有采集回来的曲线数据，则归档前未采集部分使用0示值进行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拟合，新表正常采集曲线数据时间点后存在缺点的，则按拟合规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则(1)(2)进行补全；若没有采集回来的曲线数据，则新表不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做处理，不进行推送；旧表的拟合规则与拆除计量点与销户表计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的拟合规则一致。对于新装、增容、更换等涉及表计装拆流程跨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日而导致归档前用电量未完整推送的，计入月度调平电量。</w:t>
      </w:r>
      <w:bookmarkEnd w:id="1285"/>
    </w:p>
    <w:p>
      <w:pPr>
        <w:pageBreakBefore w:val="off"/>
        <w:tabs/>
        <w:wordWrap w:val="off"/>
        <w:spacing w:before="0" w:after="0" w:line="800" w:lineRule="atLeast"/>
        <w:ind w:left="1160" w:right="0" w:firstLine="40"/>
        <w:jc w:val="both"/>
        <w:textAlignment w:val="baseline"/>
        <w:rPr>
          <w:sz w:val="60"/>
        </w:rPr>
      </w:pPr>
      <w:bookmarkStart w:name="" w:id="1286"/>
      <w:r>
        <w:rPr>
          <w:rFonts w:ascii="仿宋" w:hAnsi="仿宋" w:cs="仿宋" w:eastAsia="仿宋"/>
          <w:sz w:val="60"/>
          <w:spacing w:val="0"/>
          <w:color w:val="000000"/>
          <w:b w:val="on"/>
          <w:i w:val="off"/>
        </w:rPr>
        <w:t>9.3.210千伏及以下光伏用户发电计量点、上网计量点</w:t>
      </w:r>
      <w:bookmarkEnd w:id="1286"/>
    </w:p>
    <w:p>
      <w:pPr>
        <w:pageBreakBefore w:val="off"/>
        <w:tabs/>
        <w:wordWrap w:val="off"/>
        <w:spacing w:before="0" w:after="0" w:line="1080" w:lineRule="atLeast"/>
        <w:ind w:left="20" w:right="0" w:firstLine="1180"/>
        <w:jc w:val="both"/>
        <w:textAlignment w:val="baseline"/>
        <w:rPr>
          <w:sz w:val="59"/>
        </w:rPr>
      </w:pPr>
      <w:bookmarkStart w:name="" w:id="128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光伏发电时段可根据各单位实际情况设置，默认设置6：00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至 18：00，其余时段为不发电时段。</w:t>
      </w:r>
      <w:bookmarkEnd w:id="1287"/>
    </w:p>
    <w:p>
      <w:pPr>
        <w:pageBreakBefore w:val="off"/>
        <w:tabs/>
        <w:wordWrap w:val="off"/>
        <w:spacing w:before="0" w:after="0" w:line="1080" w:lineRule="atLeast"/>
        <w:ind w:left="1440" w:right="0"/>
        <w:jc w:val="both"/>
        <w:textAlignment w:val="baseline"/>
        <w:rPr>
          <w:sz w:val="59"/>
        </w:rPr>
      </w:pPr>
      <w:bookmarkStart w:name="" w:id="128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(1)拟合规则Ⅰ</w:t>
      </w:r>
      <w:bookmarkEnd w:id="1288"/>
    </w:p>
    <w:p>
      <w:pPr>
        <w:pageBreakBefore w:val="off"/>
        <w:tabs/>
        <w:wordWrap w:val="off"/>
        <w:spacing w:before="0" w:after="0" w:line="1080" w:lineRule="atLeast"/>
        <w:ind w:left="20" w:right="20" w:firstLine="1180"/>
        <w:jc w:val="both"/>
        <w:textAlignment w:val="baseline"/>
        <w:rPr>
          <w:sz w:val="59"/>
        </w:rPr>
      </w:pPr>
      <w:bookmarkStart w:name="" w:id="128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拟合规则Ⅰ适用于消纳方式为自发自用余电上网的并网点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表计(简称：发电表)和消纳方式为全额上网的上网计量点表计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(简称：上网表)的采集数据拟合。</w:t>
      </w:r>
      <w:bookmarkEnd w:id="1289"/>
    </w:p>
    <w:p>
      <w:pPr>
        <w:pageBreakBefore w:val="off"/>
        <w:tabs/>
        <w:wordWrap w:val="off"/>
        <w:spacing w:before="0" w:after="0" w:line="1080" w:lineRule="atLeast"/>
        <w:ind w:left="280" w:right="0" w:firstLine="960"/>
        <w:jc w:val="both"/>
        <w:textAlignment w:val="baseline"/>
        <w:rPr>
          <w:sz w:val="59"/>
        </w:rPr>
      </w:pPr>
      <w:bookmarkStart w:name="" w:id="129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首先拟合不发电时段。若电能示值曲线采集失败点为0：00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(24：00)时，优先取用日冻结电能示值替代。</w:t>
      </w:r>
      <w:bookmarkEnd w:id="1290"/>
    </w:p>
    <w:p>
      <w:pPr>
        <w:pageBreakBefore w:val="off"/>
        <w:tabs/>
        <w:wordWrap w:val="off"/>
        <w:spacing w:before="800" w:after="0" w:line="720" w:lineRule="atLeast"/>
        <w:ind w:left="0" w:right="0"/>
        <w:jc w:val="center"/>
        <w:textAlignment w:val="baseline"/>
        <w:rPr>
          <w:sz w:val="53"/>
        </w:rPr>
      </w:pPr>
      <w:bookmarkStart w:name="" w:id="129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13</w:t>
      </w:r>
      <w:bookmarkEnd w:id="1291"/>
    </w:p>
    <w:p>
      <w:r>
        <w:t/>
      </w:r>
    </w:p>
    <w:p>
      <w:pPr>
        <w:sectPr>
          <w:footerReference r:id="rId35"/>
          <w:headerReference r:id="rId36" w:type="default"/>
          <w:type w:val="nextPage"/>
          <w:pgSz w:w="22400" w:h="31680"/>
          <w:pgMar w:left="2760" w:top="2240" w:right="2760" w:bottom="2240" w:header="1940" w:footer="1940"/>
          <w:cols w:num="1"/>
        </w:sectPr>
      </w:pPr>
    </w:p>
    <w:p>
      <w:pPr>
        <w:pageBreakBefore w:val="off"/>
        <w:tabs/>
        <w:wordWrap w:val="off"/>
        <w:spacing w:before="480" w:after="0" w:line="1020" w:lineRule="atLeast"/>
        <w:ind w:left="0" w:right="0" w:firstLine="1200"/>
        <w:jc w:val="both"/>
        <w:textAlignment w:val="baseline"/>
        <w:rPr>
          <w:sz w:val="56"/>
        </w:rPr>
      </w:pPr>
      <w:bookmarkStart w:name="" w:id="1292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若0：00到6：00、18：00到24：00无首尾点且无日冻结示值，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则分别取用最早采集的示值补全前半段，取最新采集的示值补全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后半段，若仅采集到一个示值则分别补全整区间。若[0：00，6：00]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无采集到示值，则取用前一日在未发电时段的最后一点采集示值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进行拟合；若[18：00，24：00]无采集到示值，则取用当日发电时段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的最后一点采集示值进行拟合，若发电时段数据均采集失败，则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待完成发电时段拟合后再拟合本段曲线。参照案例如下：</w:t>
      </w:r>
      <w:bookmarkEnd w:id="1292"/>
    </w:p>
    <w:p>
      <w:pPr>
        <w:pageBreakBefore w:val="off"/>
        <w:tabs/>
        <w:wordWrap w:val="off"/>
        <w:spacing w:before="0" w:after="0" w:line="1020" w:lineRule="atLeast"/>
        <w:ind w:left="40" w:right="60" w:firstLine="1160"/>
        <w:jc w:val="both"/>
        <w:textAlignment w:val="baseline"/>
        <w:rPr>
          <w:sz w:val="56"/>
        </w:rPr>
      </w:pPr>
      <w:bookmarkStart w:name="" w:id="1293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1：45 时采集到的电能示值为 1，为[0：00，6：00]区间段的最早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采集的示值,则0:00、0:15、0:30、0:45、1:00、1:15、1:30均拟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合电能示值为1。</w:t>
      </w:r>
      <w:bookmarkEnd w:id="1293"/>
    </w:p>
    <w:p>
      <w:pPr>
        <w:pageBreakBefore w:val="off"/>
        <w:tabs/>
        <w:wordWrap w:val="off"/>
        <w:spacing w:before="0" w:after="0" w:line="1020" w:lineRule="atLeast"/>
        <w:ind w:left="0" w:right="20" w:firstLine="1200"/>
        <w:jc w:val="both"/>
        <w:textAlignment w:val="baseline"/>
        <w:rPr>
          <w:sz w:val="56"/>
        </w:rPr>
      </w:pPr>
      <w:bookmarkStart w:name="" w:id="1294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最早采集示值与最新采集示值间的缺点采用“差值平均法”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填补。参照案例如下：</w:t>
      </w:r>
      <w:bookmarkEnd w:id="1294"/>
    </w:p>
    <w:p>
      <w:pPr>
        <w:pageBreakBefore w:val="off"/>
        <w:tabs/>
        <w:wordWrap w:val="off"/>
        <w:spacing w:before="0" w:after="0" w:line="1020" w:lineRule="atLeast"/>
        <w:ind w:left="40" w:right="60" w:firstLine="1160"/>
        <w:jc w:val="both"/>
        <w:textAlignment w:val="baseline"/>
        <w:rPr>
          <w:sz w:val="56"/>
        </w:rPr>
      </w:pPr>
      <w:bookmarkStart w:name="" w:id="1295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1：45 时采集到的电能示值为 1，为[0：00，6：00]区间段的最早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采集的示值;2:15 时采集到的电能示值为 1.1,为[0:00,6:00]区间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段的最新采集的示值，则2：00 时拟合电能示值为 1.05。</w:t>
      </w:r>
      <w:bookmarkEnd w:id="1295"/>
    </w:p>
    <w:p>
      <w:pPr>
        <w:pageBreakBefore w:val="off"/>
        <w:tabs/>
        <w:wordWrap w:val="off"/>
        <w:spacing w:before="0" w:after="0" w:line="1020" w:lineRule="atLeast"/>
        <w:ind w:left="40" w:right="60" w:firstLine="1160"/>
        <w:jc w:val="both"/>
        <w:textAlignment w:val="baseline"/>
        <w:rPr>
          <w:sz w:val="56"/>
        </w:rPr>
      </w:pPr>
      <w:bookmarkStart w:name="" w:id="1296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其次拟合发电时段。若缺失点位于光伏默认发电时段内，根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据光伏发电特性，采用“同区域发电效率参考”的方式进行拟合。</w:t>
      </w:r>
      <w:bookmarkEnd w:id="1296"/>
    </w:p>
    <w:p>
      <w:pPr>
        <w:pageBreakBefore w:val="off"/>
        <w:tabs/>
        <w:wordWrap w:val="off"/>
        <w:spacing w:before="0" w:after="0" w:line="1020" w:lineRule="atLeast"/>
        <w:ind w:left="40" w:right="80" w:firstLine="1160"/>
        <w:jc w:val="both"/>
        <w:textAlignment w:val="baseline"/>
        <w:rPr>
          <w:sz w:val="56"/>
        </w:rPr>
      </w:pPr>
      <w:bookmarkStart w:name="" w:id="1297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A.若在发电区间段连续采集失败点数小于等于2，则采用“差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值平均法”，取该缺失时段前后电能示值曲线平均值拟合。</w:t>
      </w:r>
      <w:bookmarkEnd w:id="1297"/>
    </w:p>
    <w:p>
      <w:pPr>
        <w:pageBreakBefore w:val="off"/>
        <w:tabs/>
        <w:wordWrap w:val="off"/>
        <w:spacing w:before="0" w:after="0" w:line="1020" w:lineRule="atLeast"/>
        <w:ind w:left="1260" w:right="0"/>
        <w:jc w:val="both"/>
        <w:textAlignment w:val="baseline"/>
        <w:rPr>
          <w:sz w:val="56"/>
        </w:rPr>
      </w:pPr>
      <w:bookmarkStart w:name="" w:id="1298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公式：</w:t>
      </w:r>
      <w:bookmarkEnd w:id="1298"/>
    </w:p>
    <w:p>
      <w:pPr>
        <w:pageBreakBefore w:val="off"/>
        <w:tabs/>
        <w:wordWrap w:val="off"/>
        <w:spacing w:before="0" w:after="0" w:line="1020" w:lineRule="atLeast"/>
        <w:ind w:left="5060" w:right="0"/>
        <w:jc w:val="both"/>
        <w:textAlignment w:val="baseline"/>
      </w:pPr>
      <w:bookmarkStart w:name="" w:id="1299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6"/>
                <w:szCs w:val="56"/>
              </w:rPr>
              <m:t>R</m:t>
            </m:r>
          </m:e>
          <m:sub>
            <m:sSub>
              <m:e/>
              <m:sub>
                <m:r>
                  <w:rPr>
                    <w:rFonts w:ascii="Cambria Math" w:hAnsi="Cambria Math"/>
                    <w:sz w:val="56"/>
                    <w:szCs w:val="56"/>
                  </w:rPr>
                  <m:t>N</m:t>
                </m:r>
              </m:sub>
            </m:sSub>
          </m:sub>
        </m:sSub>
        <m:r>
          <w:rPr>
            <w:rFonts w:ascii="Cambria Math" w:hAnsi="Cambria Math"/>
            <w:sz w:val="56"/>
            <w:szCs w:val="56"/>
          </w:rPr>
          <m:t>=R+</m:t>
        </m:r>
        <m:f>
          <m:fPr>
            <m:type m:val="bar"/>
          </m:fPr>
          <m:num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hAnsi="Cambria Math"/>
                        <w:sz w:val="56"/>
                        <w:szCs w:val="56"/>
                      </w:rPr>
                      <m:t>R</m:t>
                    </m:r>
                  </m:e>
                  <m:sub>
                    <m:sSub>
                      <m:e/>
                      <m:sub>
                        <m:r>
                          <w:rPr>
                            <w:rFonts w:ascii="Cambria Math" w:hAnsi="Cambria Math"/>
                            <w:sz w:val="56"/>
                            <w:szCs w:val="56"/>
                          </w:rPr>
                          <m:t>Y+1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  <w:sz w:val="56"/>
                    <w:szCs w:val="56"/>
                  </w:rPr>
                  <m:t>-R</m:t>
                </m:r>
              </m:e>
            </m:d>
          </m:num>
          <m:den>
            <m:r>
              <w:rPr>
                <w:rFonts w:ascii="Cambria Math" w:hAnsi="Cambria Math"/>
                <w:sz w:val="56"/>
                <w:szCs w:val="56"/>
              </w:rPr>
              <m:t>V⟂1</m:t>
            </m:r>
          </m:den>
        </m:f>
        <m:r>
          <w:rPr>
            <w:rFonts w:ascii="Cambria Math" w:hAnsi="Cambria Math"/>
            <w:sz w:val="56"/>
            <w:szCs w:val="56"/>
          </w:rPr>
          <m:t>*N</m:t>
        </m:r>
      </m:oMath>
      <w:bookmarkEnd w:id="1299"/>
    </w:p>
    <w:p>
      <w:pPr>
        <w:pageBreakBefore w:val="off"/>
        <w:tabs/>
        <w:wordWrap w:val="off"/>
        <w:spacing w:before="0" w:after="0" w:line="1020" w:lineRule="atLeast"/>
        <w:ind w:left="1260" w:right="0"/>
        <w:jc w:val="both"/>
        <w:textAlignment w:val="baseline"/>
        <w:rPr>
          <w:sz w:val="56"/>
        </w:rPr>
      </w:pPr>
      <w:bookmarkStart w:name="" w:id="1300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其中：</w:t>
      </w:r>
      <w:bookmarkEnd w:id="1300"/>
    </w:p>
    <w:p>
      <w:pPr>
        <w:pageBreakBefore w:val="off"/>
        <w:tabs/>
        <w:wordWrap w:val="off"/>
        <w:spacing w:before="0" w:after="0" w:line="1020" w:lineRule="atLeast"/>
        <w:ind w:left="1260" w:right="0"/>
        <w:jc w:val="both"/>
        <w:textAlignment w:val="baseline"/>
        <w:rPr>
          <w:sz w:val="56"/>
        </w:rPr>
      </w:pPr>
      <w:bookmarkStart w:name="" w:id="1301"/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>Y 为总缺失点数</w:t>
      </w:r>
      <w:bookmarkEnd w:id="1301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56"/>
        </w:rPr>
      </w:pPr>
      <w:bookmarkStart w:name="" w:id="1302"/>
      <w:r>
        <w:rPr>
          <w:rFonts w:ascii="宋体" w:hAnsi="宋体" w:cs="宋体" w:eastAsia="宋体"/>
          <w:sz w:val="56"/>
          <w:spacing w:val="0"/>
          <w:color w:val="000000"/>
          <w:b w:val="off"/>
          <w:i w:val="off"/>
        </w:rPr>
        <w:t/>
      </w:r>
      <w:bookmarkEnd w:id="1302"/>
    </w:p>
    <w:p>
      <w:pPr>
        <w:pageBreakBefore w:val="off"/>
        <w:tabs/>
        <w:wordWrap w:val="off"/>
        <w:spacing w:before="0" w:after="0" w:line="680" w:lineRule="atLeast"/>
        <w:ind w:left="0" w:right="0"/>
        <w:jc w:val="center"/>
        <w:textAlignment w:val="baseline"/>
        <w:rPr>
          <w:sz w:val="51"/>
        </w:rPr>
      </w:pPr>
      <w:bookmarkStart w:name="" w:id="1303"/>
      <w:r>
        <w:rPr>
          <w:rFonts w:ascii="黑体" w:hAnsi="黑体" w:cs="黑体" w:eastAsia="黑体"/>
          <w:sz w:val="51"/>
          <w:spacing w:val="0"/>
          <w:color w:val="000000"/>
          <w:b w:val="off"/>
          <w:i w:val="off"/>
        </w:rPr>
        <w:t>14</w:t>
      </w:r>
      <w:bookmarkEnd w:id="1303"/>
    </w:p>
    <w:p>
      <w:r>
        <w:t/>
      </w:r>
    </w:p>
    <w:p>
      <w:pPr>
        <w:sectPr>
          <w:footerReference r:id="rId37"/>
          <w:headerReference r:id="rId38" w:type="default"/>
          <w:type w:val="nextPage"/>
          <w:pgSz w:w="22400" w:h="31680"/>
          <w:pgMar w:left="2720" w:top="2240" w:right="2720" w:bottom="2240" w:header="1940" w:footer="1940"/>
          <w:cols w:num="1"/>
        </w:sectPr>
      </w:pPr>
    </w:p>
    <w:p>
      <w:pPr>
        <w:pageBreakBefore w:val="off"/>
        <w:tabs/>
        <w:wordWrap w:val="off"/>
        <w:spacing w:before="460" w:after="0" w:line="1020" w:lineRule="atLeast"/>
        <w:ind w:left="1280" w:right="0"/>
        <w:jc w:val="both"/>
        <w:textAlignment w:val="baseline"/>
        <w:rPr>
          <w:sz w:val="58"/>
        </w:rPr>
      </w:pPr>
      <w:bookmarkStart w:name="" w:id="1304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R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N</m:t>
            </m:r>
          </m:sub>
        </m:sSub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为第 N 点缺失点示值；</w:t>
      </w:r>
      <w:bookmarkEnd w:id="1304"/>
    </w:p>
    <w:p>
      <w:pPr>
        <w:pageBreakBefore w:val="off"/>
        <w:tabs/>
        <w:wordWrap w:val="off"/>
        <w:spacing w:before="0" w:after="0" w:line="1020" w:lineRule="atLeast"/>
        <w:ind w:left="1280" w:right="0"/>
        <w:jc w:val="both"/>
        <w:textAlignment w:val="baseline"/>
        <w:rPr>
          <w:sz w:val="58"/>
        </w:rPr>
      </w:pPr>
      <w:bookmarkStart w:name="" w:id="130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R 为缺失时段前一点示值；</w:t>
      </w:r>
      <w:bookmarkEnd w:id="1305"/>
    </w:p>
    <w:p>
      <w:pPr>
        <w:pageBreakBefore w:val="off"/>
        <w:tabs/>
        <w:wordWrap w:val="off"/>
        <w:spacing w:before="0" w:after="0" w:line="1020" w:lineRule="atLeast"/>
        <w:ind w:left="1280" w:right="0"/>
        <w:jc w:val="both"/>
        <w:textAlignment w:val="baseline"/>
        <w:rPr>
          <w:sz w:val="58"/>
        </w:rPr>
      </w:pPr>
      <w:bookmarkStart w:name="" w:id="1306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R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Y+1</m:t>
            </m:r>
          </m:sub>
        </m:sSub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为缺失时段后一点示值；</w:t>
      </w:r>
      <w:bookmarkEnd w:id="1306"/>
    </w:p>
    <w:p>
      <w:pPr>
        <w:pageBreakBefore w:val="off"/>
        <w:tabs/>
        <w:wordWrap w:val="off"/>
        <w:spacing w:before="0" w:after="0" w:line="1020" w:lineRule="atLeast"/>
        <w:ind w:left="0" w:right="260" w:firstLine="1160"/>
        <w:jc w:val="both"/>
        <w:textAlignment w:val="baseline"/>
        <w:rPr>
          <w:sz w:val="58"/>
        </w:rPr>
      </w:pPr>
      <w:bookmarkStart w:name="" w:id="130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B.若在发电区间段首尾点数据采集成功，但连续采集失败点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数大于2，采用“发电表参考拟合法”拟合，即取用同台区或同区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域下发电时段数据采集完整的光伏发电表的发电趋势作为拟合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参照。计算公式如下：</w:t>
      </w:r>
      <w:bookmarkEnd w:id="1307"/>
    </w:p>
    <w:p>
      <w:pPr>
        <w:pageBreakBefore w:val="off"/>
        <w:tabs/>
        <w:wordWrap w:val="off"/>
        <w:spacing w:before="0" w:after="0" w:line="1020" w:lineRule="atLeast"/>
        <w:ind w:left="1280" w:right="0"/>
        <w:jc w:val="both"/>
        <w:textAlignment w:val="baseline"/>
        <w:rPr>
          <w:sz w:val="58"/>
        </w:rPr>
      </w:pPr>
      <w:bookmarkStart w:name="" w:id="130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公式：</w:t>
      </w:r>
      <w:bookmarkEnd w:id="1308"/>
    </w:p>
    <w:p>
      <w:pPr>
        <w:pageBreakBefore w:val="off"/>
        <w:tabs/>
        <w:wordWrap w:val="off"/>
        <w:spacing w:before="0" w:after="0" w:line="1020" w:lineRule="atLeast"/>
        <w:ind w:left="3720" w:right="0"/>
        <w:jc w:val="both"/>
        <w:textAlignment w:val="baseline"/>
      </w:pPr>
      <w:bookmarkStart w:name="" w:id="1309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R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N</m:t>
            </m:r>
          </m:sub>
        </m:sSub>
        <m:r>
          <w:rPr>
            <w:rFonts w:ascii="Cambria Math" w:hAnsi="Cambria Math"/>
            <w:sz w:val="58"/>
            <w:szCs w:val="58"/>
          </w:rPr>
          <m:t>=</m:t>
        </m:r>
        <m:r>
          <w:rPr>
            <w:rFonts w:ascii="Cambria Math" w:hAnsi="Cambria Math"/>
            <w:sz w:val="58"/>
            <w:szCs w:val="58"/>
          </w:rPr>
          <m:t>R</m:t>
        </m:r>
        <m:r>
          <w:rPr>
            <w:rFonts w:ascii="Cambria Math" w:hAnsi="Cambria Math"/>
            <w:sz w:val="58"/>
            <w:szCs w:val="58"/>
          </w:rPr>
          <m:t>+</m:t>
        </m:r>
        <m:f>
          <m:fPr>
            <m:type m:val="bar"/>
          </m:fPr>
          <m:num>
            <m:r>
              <w:rPr>
                <w:rFonts w:ascii="Cambria Math" w:hAnsi="Cambria Math"/>
                <w:sz w:val="58"/>
                <w:szCs w:val="58"/>
              </w:rPr>
              <m:t>1</m:t>
            </m:r>
          </m:num>
          <m:den>
            <m:d>
              <m:dPr>
                <m:sepChr m:val=","/>
              </m:dPr>
              <m:e>
                <m:r>
                  <w:rPr>
                    <w:rFonts w:ascii="Cambria Math" w:hAnsi="Cambria Math"/>
                    <w:sz w:val="58"/>
                    <w:szCs w:val="58"/>
                  </w:rPr>
                  <m:t>R</m:t>
                </m:r>
                <m:sSub>
                  <m:e>
                    <m:r>
                      <w:rPr>
                        <w:rFonts w:ascii="Cambria Math" w:hAnsi="Cambria Math"/>
                        <w:sz w:val="58"/>
                        <w:szCs w:val="58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/>
                        <w:sz w:val="58"/>
                        <w:szCs w:val="58"/>
                      </w:rPr>
                      <m:t>Y+1</m:t>
                    </m:r>
                  </m:sub>
                </m:sSub>
                <m:r>
                  <w:rPr>
                    <w:rFonts w:ascii="Cambria Math" w:hAnsi="Cambria Math"/>
                    <w:sz w:val="58"/>
                    <w:szCs w:val="58"/>
                  </w:rPr>
                  <m:t>-R1</m:t>
                </m:r>
              </m:e>
            </m:d>
          </m:den>
        </m:f>
      </m:oMath>
      <w:bookmarkEnd w:id="1309"/>
    </w:p>
    <w:p>
      <w:pPr>
        <w:pageBreakBefore w:val="off"/>
        <w:tabs/>
        <w:wordWrap w:val="off"/>
        <w:spacing w:before="420" w:after="0" w:line="1020" w:lineRule="atLeast"/>
        <w:ind w:left="1280" w:right="0"/>
        <w:jc w:val="both"/>
        <w:textAlignment w:val="baseline"/>
        <w:rPr>
          <w:sz w:val="58"/>
        </w:rPr>
      </w:pPr>
      <w:bookmarkStart w:name="" w:id="131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其中：</w:t>
      </w:r>
      <w:bookmarkEnd w:id="1310"/>
    </w:p>
    <w:p>
      <w:pPr>
        <w:pageBreakBefore w:val="off"/>
        <w:tabs/>
        <w:wordWrap w:val="off"/>
        <w:spacing w:before="0" w:after="0" w:line="1020" w:lineRule="atLeast"/>
        <w:ind w:left="1280" w:right="0"/>
        <w:jc w:val="both"/>
        <w:textAlignment w:val="baseline"/>
        <w:rPr>
          <w:sz w:val="58"/>
        </w:rPr>
      </w:pPr>
      <w:bookmarkStart w:name="" w:id="131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Y 为总缺失点数</w:t>
      </w:r>
      <w:bookmarkEnd w:id="1311"/>
    </w:p>
    <w:p>
      <w:pPr>
        <w:pageBreakBefore w:val="off"/>
        <w:tabs/>
        <w:wordWrap w:val="off"/>
        <w:spacing w:before="0" w:after="0" w:line="1020" w:lineRule="atLeast"/>
        <w:ind w:left="1280" w:right="0"/>
        <w:jc w:val="both"/>
        <w:textAlignment w:val="baseline"/>
        <w:rPr>
          <w:sz w:val="58"/>
        </w:rPr>
      </w:pPr>
      <w:bookmarkStart w:name="" w:id="1312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R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N</m:t>
            </m:r>
          </m:sub>
        </m:sSub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为待拟合表计第 N 点缺失点示值；</w:t>
      </w:r>
      <w:bookmarkEnd w:id="1312"/>
    </w:p>
    <w:p>
      <w:pPr>
        <w:pageBreakBefore w:val="off"/>
        <w:tabs/>
        <w:wordWrap w:val="off"/>
        <w:spacing w:before="0" w:after="0" w:line="1020" w:lineRule="atLeast"/>
        <w:ind w:left="2000" w:right="0"/>
        <w:jc w:val="both"/>
        <w:textAlignment w:val="baseline"/>
        <w:rPr>
          <w:sz w:val="58"/>
        </w:rPr>
      </w:pPr>
      <w:bookmarkStart w:name="" w:id="131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R 为待拟合表计缺失时段前一点示值；</w:t>
      </w:r>
      <w:bookmarkEnd w:id="1313"/>
    </w:p>
    <w:p>
      <w:pPr>
        <w:pageBreakBefore w:val="off"/>
        <w:tabs/>
        <w:wordWrap w:val="off"/>
        <w:spacing w:before="0" w:after="0" w:line="1020" w:lineRule="atLeast"/>
        <w:ind w:left="1280" w:right="0"/>
        <w:jc w:val="both"/>
        <w:textAlignment w:val="baseline"/>
        <w:rPr>
          <w:sz w:val="58"/>
        </w:rPr>
      </w:pPr>
      <w:bookmarkStart w:name="" w:id="1314"/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58"/>
            <w:szCs w:val="58"/>
          </w:rPr>
          <m:t>R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1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N</m:t>
            </m:r>
          </m:sub>
        </m:sSub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为参照表计第 N 点示值；</w:t>
      </w:r>
      <w:bookmarkEnd w:id="1314"/>
    </w:p>
    <w:p>
      <w:pPr>
        <w:pageBreakBefore w:val="off"/>
        <w:tabs/>
        <w:wordWrap w:val="off"/>
        <w:spacing w:before="0" w:after="0" w:line="1020" w:lineRule="atLeast"/>
        <w:ind w:left="1280" w:right="0"/>
        <w:jc w:val="both"/>
        <w:textAlignment w:val="baseline"/>
        <w:rPr>
          <w:sz w:val="58"/>
        </w:rPr>
      </w:pPr>
      <w:bookmarkStart w:name="" w:id="131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R1 为参照表计在待拟合表计缺失时段前一点示值；</w:t>
      </w:r>
      <w:bookmarkEnd w:id="1315"/>
    </w:p>
    <w:p>
      <w:pPr>
        <w:pageBreakBefore w:val="off"/>
        <w:tabs/>
        <w:wordWrap w:val="off"/>
        <w:spacing w:before="0" w:after="0" w:line="1020" w:lineRule="atLeast"/>
        <w:ind w:left="1280" w:right="0"/>
        <w:jc w:val="both"/>
        <w:textAlignment w:val="baseline"/>
        <w:rPr>
          <w:sz w:val="58"/>
        </w:rPr>
      </w:pPr>
      <w:bookmarkStart w:name="" w:id="1316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R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Y+1</m:t>
            </m:r>
          </m:sub>
        </m:sSub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为待拟合表计缺失时段后一点示值；</w:t>
      </w:r>
      <w:bookmarkEnd w:id="1316"/>
    </w:p>
    <w:p>
      <w:pPr>
        <w:pageBreakBefore w:val="off"/>
        <w:tabs/>
        <w:wordWrap w:val="off"/>
        <w:spacing w:before="0" w:after="0" w:line="1020" w:lineRule="atLeast"/>
        <w:ind w:left="1280" w:right="0"/>
        <w:jc w:val="both"/>
        <w:textAlignment w:val="baseline"/>
        <w:rPr>
          <w:sz w:val="58"/>
        </w:rPr>
      </w:pPr>
      <w:bookmarkStart w:name="" w:id="1317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R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Y+1</m:t>
            </m:r>
          </m:sub>
        </m:sSub>
      </m:oMath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为参照表计在待拟合表计缺失时段后一点示值；</w:t>
      </w:r>
      <w:bookmarkEnd w:id="1317"/>
    </w:p>
    <w:p>
      <w:pPr>
        <w:pageBreakBefore w:val="off"/>
        <w:tabs/>
        <w:wordWrap w:val="off"/>
        <w:spacing w:before="0" w:after="0" w:line="1020" w:lineRule="atLeast"/>
        <w:ind w:left="0" w:right="0" w:firstLine="1200"/>
        <w:jc w:val="both"/>
        <w:textAlignment w:val="baseline"/>
        <w:rPr>
          <w:sz w:val="58"/>
        </w:rPr>
      </w:pPr>
      <w:bookmarkStart w:name="" w:id="131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C.若发电区间段尾点(即 18：00)电能示值曲线采集失败且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未成功拟合。首先取用同台区或同区域下缺失时段数据采集完整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的光伏发电表计作为对照表计(若台区或区域下仅一只发电表计，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则参考点取用相邻台区或区域光伏表计)，根据对照表计与待拟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合表计的历史发电曲线计算光伏发电效率因子。通过对照表计当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日在缺点时段的走字乘光伏发电效率因子倒算待拟合表计缺点</w:t>
      </w:r>
      <w:bookmarkEnd w:id="1318"/>
    </w:p>
    <w:p>
      <w:pPr>
        <w:pageBreakBefore w:val="off"/>
        <w:tabs/>
        <w:wordWrap w:val="off"/>
        <w:spacing w:before="74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1319"/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15</w:t>
      </w:r>
      <w:bookmarkEnd w:id="1319"/>
    </w:p>
    <w:p>
      <w:r>
        <w:t/>
      </w:r>
    </w:p>
    <w:p>
      <w:pPr>
        <w:sectPr>
          <w:footerReference r:id="rId39"/>
          <w:headerReference r:id="rId40" w:type="default"/>
          <w:type w:val="nextPage"/>
          <w:pgSz w:w="22400" w:h="31680"/>
          <w:pgMar w:left="2660" w:top="2240" w:right="2660" w:bottom="2240" w:header="1940" w:footer="1940"/>
          <w:cols w:num="1"/>
        </w:sectPr>
      </w:pPr>
    </w:p>
    <w:p>
      <w:pPr>
        <w:pageBreakBefore w:val="off"/>
        <w:tabs/>
        <w:wordWrap w:val="off"/>
        <w:spacing w:before="520" w:after="0" w:line="1060" w:lineRule="atLeast"/>
        <w:ind w:left="0" w:right="0"/>
        <w:jc w:val="both"/>
        <w:textAlignment w:val="baseline"/>
        <w:rPr>
          <w:sz w:val="60"/>
        </w:rPr>
      </w:pPr>
      <w:bookmarkStart w:name="" w:id="1320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时段示值。</w:t>
      </w:r>
      <w:bookmarkEnd w:id="1320"/>
    </w:p>
    <w:p>
      <w:pPr>
        <w:pageBreakBefore w:val="off"/>
        <w:tabs/>
        <w:wordWrap w:val="off"/>
        <w:spacing w:before="0" w:after="0" w:line="1060" w:lineRule="atLeast"/>
        <w:ind w:left="1260" w:right="0"/>
        <w:jc w:val="both"/>
        <w:textAlignment w:val="baseline"/>
        <w:rPr>
          <w:sz w:val="60"/>
        </w:rPr>
      </w:pPr>
      <w:bookmarkStart w:name="" w:id="1321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光伏发电效率因子公式：</w:t>
      </w:r>
      <w:bookmarkEnd w:id="1321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322"/>
      <w:r>
        <w:drawing>
          <wp:inline distL="0" distR="0" distT="0" distB="0">
            <wp:extent cx="9118600" cy="8382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118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22"/>
    </w:p>
    <w:p>
      <w:pPr>
        <w:pageBreakBefore w:val="off"/>
        <w:tabs/>
        <w:wordWrap w:val="off"/>
        <w:spacing w:before="0" w:after="0" w:line="1060" w:lineRule="atLeast"/>
        <w:ind w:left="1260" w:right="0"/>
        <w:jc w:val="both"/>
        <w:textAlignment w:val="baseline"/>
        <w:rPr>
          <w:sz w:val="60"/>
        </w:rPr>
      </w:pPr>
      <w:bookmarkStart w:name="" w:id="132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其中：</w:t>
      </w:r>
      <w:bookmarkEnd w:id="1323"/>
    </w:p>
    <w:p>
      <w:pPr>
        <w:pageBreakBefore w:val="off"/>
        <w:tabs/>
        <w:wordWrap w:val="off"/>
        <w:spacing w:before="0" w:after="0" w:line="1060" w:lineRule="atLeast"/>
        <w:ind w:left="1260" w:right="0"/>
        <w:jc w:val="both"/>
        <w:textAlignment w:val="baseline"/>
        <w:rPr>
          <w:sz w:val="60"/>
        </w:rPr>
      </w:pPr>
      <w:bookmarkStart w:name="" w:id="1324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E 为光伏发电效率因子；</w:t>
      </w:r>
      <w:bookmarkEnd w:id="1324"/>
    </w:p>
    <w:p>
      <w:pPr>
        <w:pageBreakBefore w:val="off"/>
        <w:tabs/>
        <w:wordWrap w:val="off"/>
        <w:spacing w:before="0" w:after="0" w:line="1060" w:lineRule="atLeast"/>
        <w:ind w:left="0" w:right="260" w:firstLine="1280"/>
        <w:jc w:val="both"/>
        <w:textAlignment w:val="baseline"/>
        <w:rPr>
          <w:sz w:val="60"/>
        </w:rPr>
      </w:pPr>
      <w:bookmarkStart w:name="" w:id="1325"/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60"/>
            <w:szCs w:val="60"/>
          </w:rPr>
          <m:t>R</m:t>
        </m:r>
        <m:sSub>
          <m:e>
            <m:r>
              <w:rPr>
                <w:rFonts w:ascii="Cambria Math" w:hAnsi="Cambria Math"/>
                <w:sz w:val="60"/>
                <w:szCs w:val="60"/>
              </w:rPr>
              <m:t>D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E</m:t>
            </m:r>
          </m:sub>
        </m:sSub>
      </m:oMath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为待拟合表计往前历史第D天的发电时段后第一点示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值；</w:t>
      </w:r>
      <w:bookmarkEnd w:id="1325"/>
    </w:p>
    <w:p>
      <w:pPr>
        <w:pageBreakBefore w:val="off"/>
        <w:tabs/>
        <w:wordWrap w:val="off"/>
        <w:spacing w:before="0" w:after="0" w:line="1060" w:lineRule="atLeast"/>
        <w:ind w:left="1260" w:right="0"/>
        <w:jc w:val="both"/>
        <w:textAlignment w:val="baseline"/>
        <w:rPr>
          <w:sz w:val="60"/>
        </w:rPr>
      </w:pPr>
      <w:bookmarkStart w:name="" w:id="1326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RDs为待拟合表计往前历史第D天的缺失段前第一点示值；</w:t>
      </w:r>
      <w:bookmarkEnd w:id="1326"/>
    </w:p>
    <w:p>
      <w:pPr>
        <w:pageBreakBefore w:val="off"/>
        <w:tabs/>
        <w:wordWrap w:val="off"/>
        <w:spacing w:before="0" w:after="0" w:line="1060" w:lineRule="atLeast"/>
        <w:ind w:left="1260" w:right="0"/>
        <w:jc w:val="both"/>
        <w:textAlignment w:val="baseline"/>
        <w:rPr>
          <w:sz w:val="60"/>
        </w:rPr>
      </w:pPr>
      <w:bookmarkStart w:name="" w:id="132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RD₁E为参照表计往前历史第D天的发电时段后第一点示值；</w:t>
      </w:r>
      <w:bookmarkEnd w:id="1327"/>
    </w:p>
    <w:p>
      <w:pPr>
        <w:pageBreakBefore w:val="off"/>
        <w:tabs/>
        <w:wordWrap w:val="off"/>
        <w:spacing w:before="0" w:after="0" w:line="1060" w:lineRule="atLeast"/>
        <w:ind w:left="1260" w:right="0" w:firstLine="20"/>
        <w:jc w:val="both"/>
        <w:textAlignment w:val="baseline"/>
        <w:rPr>
          <w:sz w:val="60"/>
        </w:rPr>
      </w:pPr>
      <w:bookmarkStart w:name="" w:id="1328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RD₁₅为参照表计往前历史第D天的缺失段前第一点示值；</w:t>
      </w:r>
      <w:bookmarkEnd w:id="1328"/>
    </w:p>
    <w:p>
      <w:pPr>
        <w:pageBreakBefore w:val="off"/>
        <w:tabs/>
        <w:wordWrap w:val="off"/>
        <w:spacing w:before="0" w:after="0" w:line="1060" w:lineRule="atLeast"/>
        <w:ind w:left="1260" w:right="0"/>
        <w:jc w:val="both"/>
        <w:textAlignment w:val="baseline"/>
        <w:rPr>
          <w:sz w:val="60"/>
        </w:rPr>
      </w:pPr>
      <w:bookmarkStart w:name="" w:id="1329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缺点示值计算公式：</w:t>
      </w:r>
      <w:bookmarkEnd w:id="1329"/>
    </w:p>
    <w:p>
      <w:pPr>
        <w:pageBreakBefore w:val="off"/>
        <w:tabs/>
        <w:wordWrap w:val="off"/>
        <w:spacing w:before="0" w:after="0" w:line="1060" w:lineRule="atLeast"/>
        <w:ind w:left="4860" w:right="0"/>
        <w:jc w:val="both"/>
        <w:textAlignment w:val="baseline"/>
      </w:pPr>
      <w:bookmarkStart w:name="" w:id="1330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60"/>
                <w:szCs w:val="60"/>
              </w:rPr>
              <m:t>R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S+N</m:t>
            </m:r>
          </m:sub>
        </m:sSub>
        <m:r>
          <w:rPr>
            <w:rFonts w:ascii="Cambria Math" w:hAnsi="Cambria Math"/>
            <w:sz w:val="60"/>
            <w:szCs w:val="60"/>
          </w:rPr>
          <m:t>=</m:t>
        </m:r>
        <m:sSub>
          <m:e>
            <m:r>
              <w:rPr>
                <w:rFonts w:ascii="Cambria Math" w:hAnsi="Cambria Math"/>
                <w:sz w:val="60"/>
                <w:szCs w:val="60"/>
              </w:rPr>
              <m:t>R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s</m:t>
            </m:r>
          </m:sub>
        </m:sSub>
        <m:r>
          <w:rPr>
            <w:rFonts w:ascii="Cambria Math" w:hAnsi="Cambria Math"/>
            <w:sz w:val="60"/>
            <w:szCs w:val="60"/>
          </w:rPr>
          <m:t>+</m:t>
        </m:r>
        <m:f>
          <m:fPr>
            <m:type m:val="bar"/>
          </m:fPr>
          <m:num>
            <m:d>
              <m:dPr>
                <m:sepChr m:val=","/>
              </m:dPr>
              <m:e>
                <m:r>
                  <w:rPr>
                    <w:rFonts w:ascii="Cambria Math" w:hAnsi="Cambria Math"/>
                    <w:sz w:val="60"/>
                    <w:szCs w:val="60"/>
                  </w:rPr>
                  <m:t>R</m:t>
                </m:r>
                <m:sSub>
                  <m:e>
                    <m:r>
                      <w:rPr>
                        <w:rFonts w:ascii="Cambria Math" w:hAnsi="Cambria Math"/>
                        <w:sz w:val="60"/>
                        <w:szCs w:val="60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/>
                        <w:sz w:val="60"/>
                        <w:szCs w:val="60"/>
                      </w:rPr>
                      <m:t>S+N</m:t>
                    </m:r>
                  </m:sub>
                </m:sSub>
                <m:r>
                  <w:rPr>
                    <w:rFonts w:ascii="Cambria Math" w:hAnsi="Cambria Math"/>
                    <w:sz w:val="60"/>
                    <w:szCs w:val="60"/>
                  </w:rPr>
                  <m:t>-R</m:t>
                </m:r>
                <m:sSub>
                  <m:e>
                    <m:r>
                      <w:rPr>
                        <w:rFonts w:ascii="Cambria Math" w:hAnsi="Cambria Math"/>
                        <w:sz w:val="60"/>
                        <w:szCs w:val="60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/>
                        <w:sz w:val="60"/>
                        <w:szCs w:val="60"/>
                      </w:rPr>
                      <m:t>s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 w:val="60"/>
                <w:szCs w:val="60"/>
              </w:rPr>
              <m:t>F</m:t>
            </m:r>
          </m:den>
        </m:f>
      </m:oMath>
      <w:bookmarkEnd w:id="1330"/>
    </w:p>
    <w:p>
      <w:pPr>
        <w:pageBreakBefore w:val="off"/>
        <w:tabs/>
        <w:wordWrap w:val="off"/>
        <w:spacing w:before="0" w:after="0" w:line="1060" w:lineRule="atLeast"/>
        <w:ind w:left="1260" w:right="0"/>
        <w:jc w:val="both"/>
        <w:textAlignment w:val="baseline"/>
        <w:rPr>
          <w:sz w:val="60"/>
        </w:rPr>
      </w:pPr>
      <w:bookmarkStart w:name="" w:id="1331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其中：</w:t>
      </w:r>
      <w:bookmarkEnd w:id="1331"/>
    </w:p>
    <w:p>
      <w:pPr>
        <w:pageBreakBefore w:val="off"/>
        <w:tabs/>
        <w:wordWrap w:val="off"/>
        <w:spacing w:before="0" w:after="0" w:line="1060" w:lineRule="atLeast"/>
        <w:ind w:left="1260" w:right="0"/>
        <w:jc w:val="both"/>
        <w:textAlignment w:val="baseline"/>
        <w:rPr>
          <w:sz w:val="60"/>
        </w:rPr>
      </w:pPr>
      <w:bookmarkStart w:name="" w:id="1332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E 为光伏效率因子；</w:t>
      </w:r>
      <w:bookmarkEnd w:id="1332"/>
    </w:p>
    <w:p>
      <w:pPr>
        <w:pageBreakBefore w:val="off"/>
        <w:tabs/>
        <w:wordWrap w:val="off"/>
        <w:spacing w:before="0" w:after="0" w:line="1060" w:lineRule="atLeast"/>
        <w:ind w:left="1260" w:right="0"/>
        <w:jc w:val="both"/>
        <w:textAlignment w:val="baseline"/>
        <w:rPr>
          <w:sz w:val="60"/>
        </w:rPr>
      </w:pPr>
      <w:bookmarkStart w:name="" w:id="1333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60"/>
                <w:szCs w:val="60"/>
              </w:rPr>
              <m:t>R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S+N</m:t>
            </m:r>
          </m:sub>
        </m:sSub>
      </m:oMath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为第N个缺失点示值；</w:t>
      </w:r>
      <w:bookmarkEnd w:id="1333"/>
    </w:p>
    <w:p>
      <w:pPr>
        <w:pageBreakBefore w:val="off"/>
        <w:tabs/>
        <w:wordWrap w:val="off"/>
        <w:spacing w:before="0" w:after="0" w:line="1060" w:lineRule="atLeast"/>
        <w:ind w:left="1260" w:right="0"/>
        <w:jc w:val="both"/>
        <w:textAlignment w:val="baseline"/>
        <w:rPr>
          <w:sz w:val="60"/>
        </w:rPr>
      </w:pPr>
      <w:bookmarkStart w:name="" w:id="1334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Rs为缺失区间段前1个点示值；</w:t>
      </w:r>
      <w:bookmarkEnd w:id="1334"/>
    </w:p>
    <w:p>
      <w:pPr>
        <w:pageBreakBefore w:val="off"/>
        <w:tabs/>
        <w:wordWrap w:val="off"/>
        <w:spacing w:before="0" w:after="0" w:line="1060" w:lineRule="atLeast"/>
        <w:ind w:left="1260" w:right="0"/>
        <w:jc w:val="both"/>
        <w:textAlignment w:val="baseline"/>
        <w:rPr>
          <w:sz w:val="60"/>
        </w:rPr>
      </w:pPr>
      <w:bookmarkStart w:name="" w:id="1335"/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60"/>
            <w:szCs w:val="60"/>
          </w:rPr>
          <m:t>R</m:t>
        </m:r>
        <m:sSub>
          <m:e>
            <m:r>
              <w:rPr>
                <w:rFonts w:ascii="Cambria Math" w:hAnsi="Cambria Math"/>
                <w:sz w:val="60"/>
                <w:szCs w:val="60"/>
              </w:rPr>
              <m:t>1</m:t>
            </m:r>
          </m:e>
          <m:sub>
            <m:r>
              <w:rPr>
                <w:rFonts w:ascii="Cambria Math" w:hAnsi="Cambria Math"/>
                <w:sz w:val="60"/>
                <w:szCs w:val="60"/>
              </w:rPr>
              <m:t>S+N</m:t>
            </m:r>
          </m:sub>
        </m:sSub>
      </m:oMath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为参照表计同区间段第N个点示值；</w:t>
      </w:r>
      <w:bookmarkEnd w:id="1335"/>
    </w:p>
    <w:p>
      <w:pPr>
        <w:pageBreakBefore w:val="off"/>
        <w:tabs/>
        <w:wordWrap w:val="off"/>
        <w:spacing w:before="0" w:after="0" w:line="1060" w:lineRule="atLeast"/>
        <w:ind w:left="1260" w:right="0"/>
        <w:jc w:val="both"/>
        <w:textAlignment w:val="baseline"/>
        <w:rPr>
          <w:sz w:val="60"/>
        </w:rPr>
      </w:pPr>
      <w:bookmarkStart w:name="" w:id="1336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Rls为参照表计同区间段前1个点示值。</w:t>
      </w:r>
      <w:bookmarkEnd w:id="1336"/>
    </w:p>
    <w:p>
      <w:pPr>
        <w:pageBreakBefore w:val="off"/>
        <w:tabs/>
        <w:wordWrap w:val="off"/>
        <w:spacing w:before="0" w:after="0" w:line="1060" w:lineRule="atLeast"/>
        <w:ind w:left="1260" w:right="0"/>
        <w:jc w:val="both"/>
        <w:textAlignment w:val="baseline"/>
        <w:rPr>
          <w:sz w:val="60"/>
        </w:rPr>
      </w:pPr>
      <w:bookmarkStart w:name="" w:id="1337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(2)拟合规则Ⅱ</w:t>
      </w:r>
      <w:bookmarkEnd w:id="1337"/>
    </w:p>
    <w:p>
      <w:pPr>
        <w:pageBreakBefore w:val="off"/>
        <w:tabs/>
        <w:wordWrap w:val="off"/>
        <w:spacing w:before="0" w:after="0" w:line="1060" w:lineRule="atLeast"/>
        <w:ind w:left="0" w:right="300" w:firstLine="1200"/>
        <w:jc w:val="both"/>
        <w:textAlignment w:val="baseline"/>
        <w:rPr>
          <w:sz w:val="60"/>
        </w:rPr>
      </w:pPr>
      <w:bookmarkStart w:name="" w:id="1338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拟合规则Ⅱ适用于消纳方式为自发自用余电上网的上网计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量点表计(简称：上网表)数据拟合。</w:t>
      </w:r>
      <w:bookmarkEnd w:id="1338"/>
    </w:p>
    <w:p>
      <w:pPr>
        <w:pageBreakBefore w:val="off"/>
        <w:tabs/>
        <w:wordWrap w:val="off"/>
        <w:spacing w:before="0" w:after="0" w:line="1060" w:lineRule="atLeast"/>
        <w:ind w:left="0" w:right="340" w:firstLine="1200"/>
        <w:jc w:val="both"/>
        <w:textAlignment w:val="baseline"/>
        <w:rPr>
          <w:sz w:val="60"/>
        </w:rPr>
      </w:pPr>
      <w:bookmarkStart w:name="" w:id="1339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不发电时段与发电区间段连续采集失败点数小于等于2与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拟合规则Ⅰ一致，不再赘述。</w:t>
      </w:r>
      <w:bookmarkEnd w:id="1339"/>
    </w:p>
    <w:p>
      <w:pPr>
        <w:pageBreakBefore w:val="off"/>
        <w:tabs/>
        <w:wordWrap w:val="off"/>
        <w:spacing w:before="760" w:after="0" w:line="680" w:lineRule="atLeast"/>
        <w:ind w:left="0" w:right="0"/>
        <w:jc w:val="center"/>
        <w:textAlignment w:val="baseline"/>
        <w:rPr>
          <w:sz w:val="50"/>
        </w:rPr>
      </w:pPr>
      <w:bookmarkStart w:name="" w:id="1340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16</w:t>
      </w:r>
      <w:bookmarkEnd w:id="1340"/>
    </w:p>
    <w:p>
      <w:r>
        <w:t/>
      </w:r>
    </w:p>
    <w:p>
      <w:pPr>
        <w:sectPr>
          <w:footerReference r:id="rId41"/>
          <w:headerReference r:id="rId42" w:type="default"/>
          <w:type w:val="nextPage"/>
          <w:pgSz w:w="22400" w:h="31680"/>
          <w:pgMar w:left="2640" w:top="2240" w:right="2640" w:bottom="2240" w:header="1940" w:footer="1940"/>
          <w:cols w:num="1"/>
        </w:sectPr>
      </w:pPr>
    </w:p>
    <w:p>
      <w:pPr>
        <w:pageBreakBefore w:val="off"/>
        <w:tabs/>
        <w:wordWrap w:val="off"/>
        <w:spacing w:before="520" w:after="0" w:line="1060" w:lineRule="atLeast"/>
        <w:ind w:left="20" w:right="0" w:firstLine="1220"/>
        <w:jc w:val="both"/>
        <w:textAlignment w:val="baseline"/>
        <w:rPr>
          <w:sz w:val="59"/>
        </w:rPr>
      </w:pPr>
      <w:bookmarkStart w:name="" w:id="134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A.若发电区间段尾点(即 18：00)电能示值曲线采集失败且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未成功拟合。采用“实际用电量拟合法”进行拟合，上网表计反向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电能示值曲线数据采用发电表、上网表正向电量(即用户表，下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称：用户表)与实际用电计算得到。其中发电表、用户表分别采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用上述“9.3.2拟合规则Ⅰ”及“9.3.1用户侧(含售电公司)拟合规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则”。</w:t>
      </w:r>
      <w:bookmarkEnd w:id="1341"/>
    </w:p>
    <w:p>
      <w:pPr>
        <w:pageBreakBefore w:val="off"/>
        <w:tabs/>
        <w:wordWrap w:val="off"/>
        <w:spacing w:before="0" w:after="0" w:line="1060" w:lineRule="atLeast"/>
        <w:ind w:left="20" w:right="0" w:firstLine="1220"/>
        <w:jc w:val="both"/>
        <w:textAlignment w:val="baseline"/>
        <w:rPr>
          <w:sz w:val="59"/>
        </w:rPr>
      </w:pPr>
      <w:bookmarkStart w:name="" w:id="134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待拟合表计拟合日往前倒推第X个相似日在数据采集失败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段的实际用电量计算方式如下：</w:t>
      </w:r>
      <w:bookmarkEnd w:id="1342"/>
    </w:p>
    <w:p>
      <w:pPr>
        <w:pageBreakBefore w:val="off"/>
        <w:tabs/>
        <w:wordWrap w:val="off"/>
        <w:spacing w:before="0" w:after="0" w:line="1060" w:lineRule="atLeast"/>
        <w:ind w:left="1080" w:right="0"/>
        <w:jc w:val="both"/>
        <w:textAlignment w:val="baseline"/>
      </w:pPr>
      <w:bookmarkStart w:name="" w:id="1343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W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x</m:t>
            </m:r>
          </m:sub>
        </m:sSub>
        <m:r>
          <w:rPr>
            <w:rFonts w:ascii="Cambria Math" w:hAnsi="Cambria Math"/>
            <w:sz w:val="58"/>
            <w:szCs w:val="58"/>
          </w:rPr>
          <m:t>=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N+1</m:t>
                </m:r>
              </m:sub>
            </m:sSub>
            <m:r>
              <w:rPr>
                <w:rFonts w:ascii="Cambria Math" w:hAnsi="Cambria Math"/>
                <w:sz w:val="58"/>
                <w:szCs w:val="58"/>
              </w:rPr>
              <m:t>-</m:t>
            </m:r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N</m:t>
                </m:r>
              </m:sub>
            </m:sSub>
          </m:e>
        </m:d>
        <m:r>
          <w:rPr>
            <w:rFonts w:ascii="Cambria Math" w:hAnsi="Cambria Math"/>
            <w:sz w:val="58"/>
            <w:szCs w:val="58"/>
          </w:rPr>
          <m:t>*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T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1</m:t>
            </m:r>
          </m:sub>
        </m:sSub>
        <m:r>
          <w:rPr>
            <w:rFonts w:ascii="Cambria Math" w:hAnsi="Cambria Math"/>
            <w:sz w:val="58"/>
            <w:szCs w:val="58"/>
          </w:rPr>
          <m:t>+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N+1</m:t>
                </m:r>
              </m:sub>
            </m:sSub>
            <m:r>
              <w:rPr>
                <w:rFonts w:ascii="Cambria Math" w:hAnsi="Cambria Math"/>
                <w:sz w:val="58"/>
                <w:szCs w:val="58"/>
              </w:rPr>
              <m:t>-</m:t>
            </m:r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N</m:t>
                </m:r>
              </m:sub>
            </m:sSub>
          </m:e>
        </m:d>
        <m:r>
          <w:rPr>
            <w:rFonts w:ascii="Cambria Math" w:hAnsi="Cambria Math"/>
            <w:sz w:val="58"/>
            <w:szCs w:val="58"/>
          </w:rPr>
          <m:t>*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T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2</m:t>
            </m:r>
          </m:sub>
        </m:sSub>
        <m:r>
          <w:rPr>
            <w:rFonts w:ascii="Cambria Math" w:hAnsi="Cambria Math"/>
            <w:sz w:val="58"/>
            <w:szCs w:val="58"/>
          </w:rPr>
          <m:t>-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N+1</m:t>
                </m:r>
              </m:sub>
            </m:sSub>
            <m:r>
              <w:rPr>
                <w:rFonts w:ascii="Cambria Math" w:hAnsi="Cambria Math"/>
                <w:sz w:val="58"/>
                <w:szCs w:val="58"/>
              </w:rPr>
              <m:t>-</m:t>
            </m:r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N</m:t>
                </m:r>
              </m:sub>
            </m:sSub>
          </m:e>
        </m:d>
        <m:r>
          <w:rPr>
            <w:rFonts w:ascii="Cambria Math" w:hAnsi="Cambria Math"/>
            <w:sz w:val="58"/>
            <w:szCs w:val="58"/>
          </w:rPr>
          <m:t>*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T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2</m:t>
            </m:r>
          </m:sub>
        </m:sSub>
      </m:oMath>
      <w:bookmarkEnd w:id="1343"/>
    </w:p>
    <w:p>
      <w:pPr>
        <w:pageBreakBefore w:val="off"/>
        <w:tabs/>
        <w:wordWrap w:val="off"/>
        <w:spacing w:before="0" w:after="0" w:line="1060" w:lineRule="atLeast"/>
        <w:ind w:left="1220" w:right="0" w:firstLine="20"/>
        <w:jc w:val="both"/>
        <w:textAlignment w:val="baseline"/>
        <w:rPr>
          <w:sz w:val="59"/>
        </w:rPr>
      </w:pPr>
      <w:bookmarkStart w:name="" w:id="134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其中：</w:t>
      </w:r>
      <w:bookmarkEnd w:id="1344"/>
    </w:p>
    <w:p>
      <w:pPr>
        <w:pageBreakBefore w:val="off"/>
        <w:tabs/>
        <w:wordWrap w:val="off"/>
        <w:spacing w:before="0" w:after="0" w:line="1060" w:lineRule="atLeast"/>
        <w:ind w:left="20" w:right="0" w:firstLine="1220"/>
        <w:jc w:val="both"/>
        <w:textAlignment w:val="baseline"/>
        <w:rPr>
          <w:sz w:val="59"/>
        </w:rPr>
      </w:pPr>
      <w:bookmarkStart w:name="" w:id="134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Wₓ为待拟合表计拟合日往前倒推第X个相似日截止待拟合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时点的实际用电量；</w:t>
      </w:r>
      <w:bookmarkEnd w:id="1345"/>
    </w:p>
    <w:p>
      <w:pPr>
        <w:pageBreakBefore w:val="off"/>
        <w:tabs/>
        <w:wordWrap w:val="off"/>
        <w:spacing w:before="0" w:after="0" w:line="1060" w:lineRule="atLeast"/>
        <w:ind w:left="20" w:right="0" w:firstLine="1220"/>
        <w:jc w:val="both"/>
        <w:textAlignment w:val="baseline"/>
        <w:rPr>
          <w:sz w:val="59"/>
        </w:rPr>
      </w:pPr>
      <w:bookmarkStart w:name="" w:id="134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QN+1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为该用户发电表计在拟合日往前倒推第X个相似日在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待拟合点的对应数据；</w:t>
      </w:r>
      <w:bookmarkEnd w:id="1346"/>
    </w:p>
    <w:p>
      <w:pPr>
        <w:pageBreakBefore w:val="off"/>
        <w:tabs/>
        <w:wordWrap w:val="off"/>
        <w:spacing w:before="0" w:after="0" w:line="1060" w:lineRule="atLeast"/>
        <w:ind w:left="20" w:right="0" w:firstLine="1220"/>
        <w:jc w:val="both"/>
        <w:textAlignment w:val="baseline"/>
        <w:rPr>
          <w:sz w:val="59"/>
        </w:rPr>
      </w:pPr>
      <w:bookmarkStart w:name="" w:id="134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QN为该用户发电表计在拟合日往前倒推第X个相似日在缺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失段前一点的对应数据；</w:t>
      </w:r>
      <w:bookmarkEnd w:id="1347"/>
    </w:p>
    <w:p>
      <w:pPr>
        <w:pageBreakBefore w:val="off"/>
        <w:tabs/>
        <w:wordWrap w:val="off"/>
        <w:spacing w:before="0" w:after="0" w:line="1060" w:lineRule="atLeast"/>
        <w:ind w:left="20" w:right="0" w:firstLine="1220"/>
        <w:jc w:val="both"/>
        <w:textAlignment w:val="baseline"/>
        <w:rPr>
          <w:sz w:val="59"/>
        </w:rPr>
      </w:pPr>
      <w:bookmarkStart w:name="" w:id="134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ZN+1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为该用户上网表计正向有功电能示值曲线在拟合日往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前倒推第X个相似日在待拟合点的对应数据；</w:t>
      </w:r>
      <w:bookmarkEnd w:id="1348"/>
    </w:p>
    <w:p>
      <w:pPr>
        <w:pageBreakBefore w:val="off"/>
        <w:tabs/>
        <w:wordWrap w:val="off"/>
        <w:spacing w:before="0" w:after="0" w:line="1060" w:lineRule="atLeast"/>
        <w:ind w:left="20" w:right="60" w:firstLine="1220"/>
        <w:jc w:val="both"/>
        <w:textAlignment w:val="baseline"/>
        <w:rPr>
          <w:sz w:val="59"/>
        </w:rPr>
      </w:pPr>
      <w:bookmarkStart w:name="" w:id="134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ZN为该用户上网表计正向有功电能示值曲线在拟合日往前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倒推第X个相似日在缺失段前一点的对应数据；</w:t>
      </w:r>
      <w:bookmarkEnd w:id="1349"/>
    </w:p>
    <w:p>
      <w:pPr>
        <w:pageBreakBefore w:val="off"/>
        <w:tabs/>
        <w:wordWrap w:val="off"/>
        <w:spacing w:before="0" w:after="0" w:line="1060" w:lineRule="atLeast"/>
        <w:ind w:left="20" w:right="0" w:firstLine="1220"/>
        <w:jc w:val="both"/>
        <w:textAlignment w:val="baseline"/>
        <w:rPr>
          <w:sz w:val="59"/>
        </w:rPr>
      </w:pPr>
      <w:bookmarkStart w:name="" w:id="135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FN+1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为该用户上网表计反向有功电能示值曲线在拟合日往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前倒推第X个相似日在待拟合点的对应数据；</w:t>
      </w:r>
      <w:bookmarkEnd w:id="1350"/>
    </w:p>
    <w:p>
      <w:pPr>
        <w:pageBreakBefore w:val="off"/>
        <w:tabs/>
        <w:wordWrap w:val="off"/>
        <w:spacing w:before="0" w:after="0" w:line="1060" w:lineRule="atLeast"/>
        <w:ind w:left="1240" w:right="0"/>
        <w:jc w:val="both"/>
        <w:textAlignment w:val="baseline"/>
        <w:rPr>
          <w:sz w:val="59"/>
        </w:rPr>
      </w:pPr>
      <w:bookmarkStart w:name="" w:id="135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FN为该用户上网表计反向有功电能示值曲线在拟合日往前</w:t>
      </w:r>
      <w:bookmarkEnd w:id="1351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9"/>
        </w:rPr>
      </w:pPr>
      <w:bookmarkStart w:name="" w:id="1352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352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3"/>
        </w:rPr>
      </w:pPr>
      <w:bookmarkStart w:name="" w:id="1353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17</w:t>
      </w:r>
      <w:bookmarkEnd w:id="1353"/>
    </w:p>
    <w:p>
      <w:r>
        <w:t/>
      </w:r>
    </w:p>
    <w:p>
      <w:pPr>
        <w:sectPr>
          <w:footerReference r:id="rId43"/>
          <w:headerReference r:id="rId44" w:type="default"/>
          <w:type w:val="nextPage"/>
          <w:pgSz w:w="22400" w:h="31680"/>
          <w:pgMar w:left="2760" w:top="2240" w:right="2760" w:bottom="2240" w:header="1940" w:footer="1940"/>
          <w:cols w:num="1"/>
        </w:sectPr>
      </w:pPr>
    </w:p>
    <w:p>
      <w:pPr>
        <w:pageBreakBefore w:val="off"/>
        <w:tabs/>
        <w:wordWrap w:val="off"/>
        <w:spacing w:before="480" w:after="0" w:line="1020" w:lineRule="atLeast"/>
        <w:ind w:left="0" w:right="0"/>
        <w:jc w:val="both"/>
        <w:textAlignment w:val="baseline"/>
        <w:rPr>
          <w:sz w:val="59"/>
        </w:rPr>
      </w:pPr>
      <w:bookmarkStart w:name="" w:id="135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倒推第X个相似日在缺失段前一点的对应数据；</w:t>
      </w:r>
      <w:bookmarkEnd w:id="1354"/>
    </w:p>
    <w:p>
      <w:pPr>
        <w:pageBreakBefore w:val="off"/>
        <w:tabs/>
        <w:wordWrap w:val="off"/>
        <w:spacing w:before="0" w:after="0" w:line="1020" w:lineRule="atLeast"/>
        <w:ind w:left="1220" w:right="0"/>
        <w:jc w:val="both"/>
        <w:textAlignment w:val="baseline"/>
        <w:rPr>
          <w:sz w:val="59"/>
        </w:rPr>
      </w:pPr>
      <w:bookmarkStart w:name="" w:id="135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T₁为发电表计互感器的综合倍率；</w:t>
      </w:r>
      <w:bookmarkEnd w:id="1355"/>
    </w:p>
    <w:p>
      <w:pPr>
        <w:pageBreakBefore w:val="off"/>
        <w:tabs/>
        <w:wordWrap w:val="off"/>
        <w:spacing w:before="0" w:after="0" w:line="1020" w:lineRule="atLeast"/>
        <w:ind w:left="1220" w:right="0"/>
        <w:jc w:val="both"/>
        <w:textAlignment w:val="baseline"/>
        <w:rPr>
          <w:sz w:val="59"/>
        </w:rPr>
      </w:pPr>
      <w:bookmarkStart w:name="" w:id="135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T₂为上网表计互感器的综合倍率；</w:t>
      </w:r>
      <w:bookmarkEnd w:id="1356"/>
    </w:p>
    <w:p>
      <w:pPr>
        <w:pageBreakBefore w:val="off"/>
        <w:tabs/>
        <w:wordWrap w:val="off"/>
        <w:spacing w:before="0" w:after="0" w:line="1020" w:lineRule="atLeast"/>
        <w:ind w:left="1220" w:right="0"/>
        <w:jc w:val="both"/>
        <w:textAlignment w:val="baseline"/>
        <w:rPr>
          <w:sz w:val="59"/>
        </w:rPr>
      </w:pPr>
      <w:bookmarkStart w:name="" w:id="135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待拟合表计拟合日在待拟合时点实际用电量计算方式如下：</w:t>
      </w:r>
      <w:bookmarkEnd w:id="1357"/>
    </w:p>
    <w:p>
      <w:pPr>
        <w:pageBreakBefore w:val="off"/>
        <w:tabs/>
        <w:wordWrap w:val="off"/>
        <w:spacing w:before="0" w:after="0" w:line="1020" w:lineRule="atLeast"/>
        <w:ind w:left="5240" w:right="0"/>
        <w:jc w:val="both"/>
        <w:textAlignment w:val="baseline"/>
      </w:pPr>
      <w:bookmarkStart w:name="" w:id="1358"/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  <w:sz w:val="58"/>
            <w:szCs w:val="58"/>
          </w:rPr>
          <m:t>W=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1</m:t>
                </m:r>
              </m:sub>
            </m:sSub>
            <m:r>
              <w:rPr>
                <w:rFonts w:ascii="Cambria Math" w:hAnsi="Cambria Math"/>
                <w:sz w:val="58"/>
                <w:szCs w:val="58"/>
              </w:rPr>
              <m:t>+</m:t>
            </m:r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2</m:t>
                </m:r>
              </m:sub>
            </m:sSub>
            <m:r>
              <w:rPr>
                <w:rFonts w:ascii="Cambria Math" w:hAnsi="Cambria Math"/>
                <w:sz w:val="58"/>
                <w:szCs w:val="58"/>
              </w:rPr>
              <m:t>+</m:t>
            </m:r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3</m:t>
                </m:r>
              </m:sub>
            </m:sSub>
            <m:r>
              <w:rPr>
                <w:rFonts w:ascii="Cambria Math" w:hAnsi="Cambria Math"/>
                <w:sz w:val="58"/>
                <w:szCs w:val="58"/>
              </w:rPr>
              <m:t>+</m:t>
            </m:r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4</m:t>
                </m:r>
              </m:sub>
            </m:sSub>
          </m:num>
          <m:den>
            <m:r>
              <w:rPr>
                <w:rFonts w:ascii="Cambria Math" w:hAnsi="Cambria Math"/>
                <w:sz w:val="58"/>
                <w:szCs w:val="58"/>
              </w:rPr>
              <m:t>4</m:t>
            </m:r>
          </m:den>
        </m:f>
      </m:oMath>
      <w:bookmarkEnd w:id="1358"/>
    </w:p>
    <w:p>
      <w:pPr>
        <w:pageBreakBefore w:val="off"/>
        <w:tabs/>
        <w:wordWrap w:val="off"/>
        <w:spacing w:before="0" w:after="0" w:line="1020" w:lineRule="atLeast"/>
        <w:ind w:left="1220" w:right="0"/>
        <w:jc w:val="both"/>
        <w:textAlignment w:val="baseline"/>
        <w:rPr>
          <w:sz w:val="59"/>
        </w:rPr>
      </w:pPr>
      <w:bookmarkStart w:name="" w:id="135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其中：</w:t>
      </w:r>
      <w:bookmarkEnd w:id="1359"/>
    </w:p>
    <w:p>
      <w:pPr>
        <w:pageBreakBefore w:val="off"/>
        <w:tabs/>
        <w:wordWrap w:val="off"/>
        <w:spacing w:before="0" w:after="0" w:line="1020" w:lineRule="atLeast"/>
        <w:ind w:left="1220" w:right="0"/>
        <w:jc w:val="both"/>
        <w:textAlignment w:val="baseline"/>
        <w:rPr>
          <w:sz w:val="59"/>
        </w:rPr>
      </w:pPr>
      <w:bookmarkStart w:name="" w:id="136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W 为待拟合表计拟合日截止待拟合时点实际用电量；</w:t>
      </w:r>
      <w:bookmarkEnd w:id="1360"/>
    </w:p>
    <w:p>
      <w:pPr>
        <w:pageBreakBefore w:val="off"/>
        <w:tabs/>
        <w:wordWrap w:val="off"/>
        <w:spacing w:before="0" w:after="0" w:line="1020" w:lineRule="atLeast"/>
        <w:ind w:left="0" w:right="20" w:firstLine="1220"/>
        <w:jc w:val="both"/>
        <w:textAlignment w:val="baseline"/>
        <w:rPr>
          <w:sz w:val="59"/>
        </w:rPr>
      </w:pPr>
      <w:bookmarkStart w:name="" w:id="136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Wₓ为待拟合表计拟合日往前倒推第X个相似日截止待拟合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时点的实际用电量；</w:t>
      </w:r>
      <w:bookmarkEnd w:id="1361"/>
    </w:p>
    <w:p>
      <w:pPr>
        <w:pageBreakBefore w:val="off"/>
        <w:tabs/>
        <w:wordWrap w:val="off"/>
        <w:spacing w:before="0" w:after="0" w:line="1020" w:lineRule="atLeast"/>
        <w:ind w:left="1220" w:right="0"/>
        <w:jc w:val="both"/>
        <w:textAlignment w:val="baseline"/>
        <w:rPr>
          <w:sz w:val="59"/>
        </w:rPr>
      </w:pPr>
      <w:bookmarkStart w:name="" w:id="136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相似日定义同“9.3.1用户侧(含售电公司)拟合规则”。</w:t>
      </w:r>
      <w:bookmarkEnd w:id="1362"/>
    </w:p>
    <w:p>
      <w:pPr>
        <w:pageBreakBefore w:val="off"/>
        <w:tabs/>
        <w:wordWrap w:val="off"/>
        <w:spacing w:before="0" w:after="0" w:line="1020" w:lineRule="atLeast"/>
        <w:ind w:left="1220" w:right="0"/>
        <w:jc w:val="both"/>
        <w:textAlignment w:val="baseline"/>
        <w:rPr>
          <w:sz w:val="59"/>
        </w:rPr>
      </w:pPr>
      <w:bookmarkStart w:name="" w:id="136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上网表计反向电能示值曲线拟合计算方式如下：</w:t>
      </w:r>
      <w:bookmarkEnd w:id="1363"/>
    </w:p>
    <w:p>
      <w:pPr>
        <w:pageBreakBefore w:val="off"/>
        <w:tabs/>
        <w:wordWrap w:val="off"/>
        <w:spacing w:before="0" w:after="0" w:line="1020" w:lineRule="atLeast"/>
        <w:ind w:left="800" w:right="0"/>
        <w:jc w:val="both"/>
        <w:textAlignment w:val="baseline"/>
      </w:pPr>
      <w:bookmarkStart w:name="" w:id="1364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F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ND</m:t>
            </m:r>
          </m:sub>
        </m:sSub>
        <m:r>
          <w:rPr>
            <w:rFonts w:ascii="Cambria Math" w:hAnsi="Cambria Math"/>
            <w:sz w:val="58"/>
            <w:szCs w:val="58"/>
          </w:rPr>
          <m:t>=</m:t>
        </m:r>
        <m:sSub>
          <m:e>
            <m:r>
              <w:rPr>
                <w:rFonts w:ascii="Cambria Math" w:hAnsi="Cambria Math"/>
                <w:sz w:val="58"/>
                <w:szCs w:val="58"/>
              </w:rPr>
              <m:t>F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ND-1</m:t>
            </m:r>
          </m:sub>
        </m:sSub>
        <m:r>
          <w:rPr>
            <w:rFonts w:ascii="Cambria Math" w:hAnsi="Cambria Math"/>
            <w:sz w:val="58"/>
            <w:szCs w:val="58"/>
          </w:rPr>
          <m:t>+</m:t>
        </m:r>
        <m:f>
          <m:fPr>
            <m:type m:val="bar"/>
          </m:fPr>
          <m:num>
            <m:d>
              <m:dPr>
                <m:begChr m:val="["/>
                <m:sepChr m:val=","/>
                <m:endChr m:val="]"/>
              </m:dPr>
              <m:e>
                <m:d>
                  <m:dPr>
                    <m:sepChr m:val=",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  <w:sz w:val="58"/>
                            <w:szCs w:val="5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58"/>
                            <w:szCs w:val="58"/>
                          </w:rPr>
                          <m:t>ND</m:t>
                        </m:r>
                      </m:sub>
                    </m:sSub>
                    <m:r>
                      <w:rPr>
                        <w:rFonts w:ascii="Cambria Math" w:hAnsi="Cambria Math"/>
                        <w:sz w:val="58"/>
                        <w:szCs w:val="58"/>
                      </w:rPr>
                      <m:t>-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58"/>
                            <w:szCs w:val="58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58"/>
                            <w:szCs w:val="58"/>
                          </w:rPr>
                          <m:t>ND-1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58"/>
                    <w:szCs w:val="58"/>
                  </w:rPr>
                  <m:t>*</m:t>
                </m:r>
                <m:sSub>
                  <m:e>
                    <m:r>
                      <w:rPr>
                        <w:rFonts w:ascii="Cambria Math" w:hAnsi="Cambria Math"/>
                        <w:sz w:val="58"/>
                        <w:szCs w:val="5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58"/>
                        <w:szCs w:val="5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58"/>
                    <w:szCs w:val="58"/>
                  </w:rPr>
                  <m:t>+</m:t>
                </m:r>
                <m:d>
                  <m:dPr>
                    <m:sepChr m:val=",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  <w:sz w:val="58"/>
                            <w:szCs w:val="5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58"/>
                            <w:szCs w:val="58"/>
                          </w:rPr>
                          <m:t>ND</m:t>
                        </m:r>
                      </m:sub>
                    </m:sSub>
                    <m:r>
                      <w:rPr>
                        <w:rFonts w:ascii="Cambria Math" w:hAnsi="Cambria Math"/>
                        <w:sz w:val="58"/>
                        <w:szCs w:val="58"/>
                      </w:rPr>
                      <m:t>-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58"/>
                            <w:szCs w:val="5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58"/>
                            <w:szCs w:val="58"/>
                          </w:rPr>
                          <m:t>ND-1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58"/>
                    <w:szCs w:val="58"/>
                  </w:rPr>
                  <m:t>*</m:t>
                </m:r>
                <m:sSub>
                  <m:e>
                    <m:r>
                      <w:rPr>
                        <w:rFonts w:ascii="Cambria Math" w:hAnsi="Cambria Math"/>
                        <w:sz w:val="58"/>
                        <w:szCs w:val="5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58"/>
                        <w:szCs w:val="5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58"/>
                    <w:szCs w:val="58"/>
                  </w:rPr>
                  <m:t>-W</m:t>
                </m:r>
              </m:e>
            </m:d>
          </m:num>
          <m:den>
            <m:sSub>
              <m:e>
                <m:r>
                  <w:rPr>
                    <w:rFonts w:ascii="Cambria Math" w:hAnsi="Cambria Math"/>
                    <w:sz w:val="58"/>
                    <w:szCs w:val="5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-</m:t>
                </m:r>
              </m:sub>
            </m:sSub>
          </m:den>
        </m:f>
      </m:oMath>
      <w:bookmarkEnd w:id="1364"/>
    </w:p>
    <w:p>
      <w:pPr>
        <w:pageBreakBefore w:val="off"/>
        <w:tabs/>
        <w:wordWrap w:val="off"/>
        <w:spacing w:before="0" w:after="0" w:line="1020" w:lineRule="atLeast"/>
        <w:ind w:left="1220" w:right="0"/>
        <w:jc w:val="both"/>
        <w:textAlignment w:val="baseline"/>
        <w:rPr>
          <w:sz w:val="59"/>
        </w:rPr>
      </w:pPr>
      <w:bookmarkStart w:name="" w:id="136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其中：</w:t>
      </w:r>
      <w:bookmarkEnd w:id="1365"/>
    </w:p>
    <w:p>
      <w:pPr>
        <w:pageBreakBefore w:val="off"/>
        <w:tabs/>
        <w:wordWrap w:val="off"/>
        <w:spacing w:before="0" w:after="0" w:line="1020" w:lineRule="atLeast"/>
        <w:ind w:left="0" w:right="60" w:firstLine="1220"/>
        <w:jc w:val="both"/>
        <w:textAlignment w:val="baseline"/>
        <w:rPr>
          <w:sz w:val="59"/>
        </w:rPr>
      </w:pPr>
      <w:bookmarkStart w:name="" w:id="136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FND 为该用户上网表计反向有功电能示值曲线待拟合时点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数据；</w:t>
      </w:r>
      <w:bookmarkEnd w:id="1366"/>
    </w:p>
    <w:p>
      <w:pPr>
        <w:pageBreakBefore w:val="off"/>
        <w:tabs/>
        <w:wordWrap w:val="off"/>
        <w:spacing w:before="0" w:after="0" w:line="1020" w:lineRule="atLeast"/>
        <w:ind w:left="0" w:right="0" w:firstLine="1260"/>
        <w:jc w:val="both"/>
        <w:textAlignment w:val="baseline"/>
        <w:rPr>
          <w:sz w:val="59"/>
        </w:rPr>
      </w:pPr>
      <w:bookmarkStart w:name="" w:id="1367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F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ND-1</m:t>
            </m:r>
          </m:sub>
        </m:sSub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为该用户上网表计反向有功电能示值曲线缺失段前一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点数据；</w:t>
      </w:r>
      <w:bookmarkEnd w:id="1367"/>
    </w:p>
    <w:p>
      <w:pPr>
        <w:pageBreakBefore w:val="off"/>
        <w:tabs/>
        <w:wordWrap w:val="off"/>
        <w:spacing w:before="0" w:after="0" w:line="1020" w:lineRule="atLeast"/>
        <w:ind w:left="1220" w:right="0"/>
        <w:jc w:val="both"/>
        <w:textAlignment w:val="baseline"/>
        <w:rPr>
          <w:sz w:val="59"/>
        </w:rPr>
      </w:pPr>
      <w:bookmarkStart w:name="" w:id="136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QND 为该用户发电表计在拟合日待拟合时点的对应数据；</w:t>
      </w:r>
      <w:bookmarkEnd w:id="1368"/>
    </w:p>
    <w:p>
      <w:pPr>
        <w:pageBreakBefore w:val="off"/>
        <w:tabs/>
        <w:wordWrap w:val="off"/>
        <w:spacing w:before="0" w:after="0" w:line="1020" w:lineRule="atLeast"/>
        <w:ind w:left="0" w:right="0" w:firstLine="1260"/>
        <w:jc w:val="both"/>
        <w:textAlignment w:val="baseline"/>
        <w:rPr>
          <w:sz w:val="59"/>
        </w:rPr>
      </w:pPr>
      <w:bookmarkStart w:name="" w:id="1369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Q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ND-1</m:t>
            </m:r>
          </m:sub>
        </m:sSub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为该用户发电表计在拟合日曲线缺失段前一点的对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应数据；</w:t>
      </w:r>
      <w:bookmarkEnd w:id="1369"/>
    </w:p>
    <w:p>
      <w:pPr>
        <w:pageBreakBefore w:val="off"/>
        <w:tabs/>
        <w:wordWrap w:val="off"/>
        <w:spacing w:before="0" w:after="0" w:line="1020" w:lineRule="atLeast"/>
        <w:ind w:left="0" w:right="60" w:firstLine="1260"/>
        <w:jc w:val="both"/>
        <w:textAlignment w:val="baseline"/>
        <w:rPr>
          <w:sz w:val="59"/>
        </w:rPr>
      </w:pPr>
      <w:bookmarkStart w:name="" w:id="137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ZND 为该用户上网表计正向有功电能示值曲线待拟合时点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的对应数据；</w:t>
      </w:r>
      <w:bookmarkEnd w:id="1370"/>
    </w:p>
    <w:p>
      <w:pPr>
        <w:pageBreakBefore w:val="off"/>
        <w:tabs/>
        <w:wordWrap w:val="off"/>
        <w:spacing w:before="0" w:after="0" w:line="1020" w:lineRule="atLeast"/>
        <w:ind w:left="1220" w:right="0" w:firstLine="40"/>
        <w:jc w:val="both"/>
        <w:textAlignment w:val="baseline"/>
        <w:rPr>
          <w:sz w:val="59"/>
        </w:rPr>
      </w:pPr>
      <w:bookmarkStart w:name="" w:id="1371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Z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ND-1</m:t>
            </m:r>
          </m:sub>
        </m:sSub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为该用户上网表计正向有功电能示值曲线缺失段前</w:t>
      </w:r>
      <w:bookmarkEnd w:id="1371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59"/>
        </w:rPr>
      </w:pPr>
      <w:bookmarkStart w:name="" w:id="1372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372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137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18</w:t>
      </w:r>
      <w:bookmarkEnd w:id="1373"/>
    </w:p>
    <w:p>
      <w:r>
        <w:t/>
      </w:r>
    </w:p>
    <w:p>
      <w:pPr>
        <w:sectPr>
          <w:footerReference r:id="rId45"/>
          <w:headerReference r:id="rId46" w:type="default"/>
          <w:type w:val="nextPage"/>
          <w:pgSz w:w="22400" w:h="31680"/>
          <w:pgMar w:left="2780" w:top="2240" w:right="2780" w:bottom="2240" w:header="1940" w:footer="1940"/>
          <w:cols w:num="1"/>
        </w:sectPr>
      </w:pPr>
    </w:p>
    <w:p>
      <w:pPr>
        <w:pageBreakBefore w:val="off"/>
        <w:tabs/>
        <w:wordWrap w:val="off"/>
        <w:spacing w:before="460" w:after="0" w:line="1000" w:lineRule="atLeast"/>
        <w:ind w:left="20" w:right="0"/>
        <w:jc w:val="both"/>
        <w:textAlignment w:val="baseline"/>
        <w:rPr>
          <w:sz w:val="59"/>
        </w:rPr>
      </w:pPr>
      <w:bookmarkStart w:name="" w:id="137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一点的对应数据；</w:t>
      </w:r>
      <w:bookmarkEnd w:id="1374"/>
    </w:p>
    <w:p>
      <w:pPr>
        <w:pageBreakBefore w:val="off"/>
        <w:tabs/>
        <w:wordWrap w:val="off"/>
        <w:spacing w:before="0" w:after="0" w:line="1000" w:lineRule="atLeast"/>
        <w:ind w:left="1220" w:right="0"/>
        <w:jc w:val="both"/>
        <w:textAlignment w:val="baseline"/>
        <w:rPr>
          <w:sz w:val="59"/>
        </w:rPr>
      </w:pPr>
      <w:bookmarkStart w:name="" w:id="137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T₁为发电表计互感器的综合倍率；</w:t>
      </w:r>
      <w:bookmarkEnd w:id="1375"/>
    </w:p>
    <w:p>
      <w:pPr>
        <w:pageBreakBefore w:val="off"/>
        <w:tabs/>
        <w:wordWrap w:val="off"/>
        <w:spacing w:before="0" w:after="0" w:line="1000" w:lineRule="atLeast"/>
        <w:ind w:left="1220" w:right="0"/>
        <w:jc w:val="both"/>
        <w:textAlignment w:val="baseline"/>
        <w:rPr>
          <w:sz w:val="59"/>
        </w:rPr>
      </w:pPr>
      <w:bookmarkStart w:name="" w:id="137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T₂为上网表计互感器的综合倍率；</w:t>
      </w:r>
      <w:bookmarkEnd w:id="1376"/>
    </w:p>
    <w:p>
      <w:pPr>
        <w:pageBreakBefore w:val="off"/>
        <w:tabs/>
        <w:wordWrap w:val="off"/>
        <w:spacing w:before="0" w:after="0" w:line="1000" w:lineRule="atLeast"/>
        <w:ind w:left="20" w:right="0" w:firstLine="1160"/>
        <w:jc w:val="both"/>
        <w:textAlignment w:val="baseline"/>
        <w:rPr>
          <w:sz w:val="59"/>
        </w:rPr>
      </w:pPr>
      <w:bookmarkStart w:name="" w:id="137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若缺失点位于非光伏发电时段，则按未发电直接进行数据补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全。</w:t>
      </w:r>
      <w:bookmarkEnd w:id="1377"/>
    </w:p>
    <w:p>
      <w:pPr>
        <w:pageBreakBefore w:val="off"/>
        <w:tabs/>
        <w:wordWrap w:val="off"/>
        <w:spacing w:before="0" w:after="0" w:line="1000" w:lineRule="atLeast"/>
        <w:ind w:left="20" w:right="60" w:firstLine="1200"/>
        <w:jc w:val="both"/>
        <w:textAlignment w:val="baseline"/>
        <w:rPr>
          <w:sz w:val="59"/>
        </w:rPr>
      </w:pPr>
      <w:bookmarkStart w:name="" w:id="137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若</w:t>
      </w:r>
      <w:r>
        <w:t xml:space="preserve"> </w:t>
      </w:r>
      <m:oMath xmlns:m="http://schemas.openxmlformats.org/officeDocument/2006/math" xmlns:mml="http://www.w3.org/1998/Math/MathML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计算结果为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负，则将计算结果直接置为0。</w:t>
      </w:r>
      <w:bookmarkEnd w:id="1378"/>
    </w:p>
    <w:p>
      <w:pPr>
        <w:pageBreakBefore w:val="off"/>
        <w:tabs/>
        <w:wordWrap w:val="off"/>
        <w:spacing w:before="0" w:after="0" w:line="1000" w:lineRule="atLeast"/>
        <w:ind w:left="20" w:right="0" w:firstLine="1140"/>
        <w:jc w:val="both"/>
        <w:textAlignment w:val="baseline"/>
        <w:rPr>
          <w:sz w:val="59"/>
        </w:rPr>
      </w:pPr>
      <w:bookmarkStart w:name="" w:id="137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B.若在发电区间段首尾点数据采集成功，但连续采集失败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点数大于2，采用“参考拟合法”拟合，用A 中的方法先计算一个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拟合反向电量，计算一个电量趋势作为拟合参照。计算公式如下：</w:t>
      </w:r>
      <w:bookmarkEnd w:id="1379"/>
    </w:p>
    <w:p>
      <w:pPr>
        <w:pageBreakBefore w:val="off"/>
        <w:tabs/>
        <w:wordWrap w:val="off"/>
        <w:spacing w:before="0" w:after="0" w:line="0" w:lineRule="atLeast"/>
        <w:ind w:left="0" w:right="0"/>
        <w:jc w:val="center"/>
        <w:textAlignment w:val="baseline"/>
      </w:pPr>
      <w:bookmarkStart w:name="" w:id="1380"/>
      <w:r>
        <w:drawing>
          <wp:inline distL="0" distR="0" distT="0" distB="0">
            <wp:extent cx="7823200" cy="812800"/>
            <wp:docPr id="4" name="Drawing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232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80"/>
    </w:p>
    <w:p>
      <w:pPr>
        <w:pageBreakBefore w:val="off"/>
        <w:tabs/>
        <w:wordWrap w:val="off"/>
        <w:spacing w:before="0" w:after="0" w:line="1020" w:lineRule="exact"/>
        <w:ind w:left="0" w:right="0"/>
        <w:jc w:val="center"/>
        <w:textAlignment w:val="baseline"/>
        <w:rPr>
          <w:sz w:val="60"/>
        </w:rPr>
      </w:pPr>
      <w:bookmarkStart w:name="" w:id="1381"/>
      <w:r>
        <w:rPr>
          <w:rFonts w:ascii="宋体" w:hAnsi="宋体" w:cs="宋体" w:eastAsia="宋体"/>
          <w:sz w:val="60"/>
          <w:spacing w:val="0"/>
          <w:color w:val="000000"/>
          <w:b w:val="off"/>
          <w:i w:val="off"/>
        </w:rPr>
        <w:t/>
      </w:r>
      <w:bookmarkEnd w:id="1381"/>
    </w:p>
    <w:p>
      <w:pPr>
        <w:pageBreakBefore w:val="off"/>
        <w:tabs/>
        <w:wordWrap w:val="off"/>
        <w:spacing w:before="0" w:after="0" w:line="1000" w:lineRule="atLeast"/>
        <w:ind w:left="1180" w:right="0"/>
        <w:jc w:val="both"/>
        <w:textAlignment w:val="baseline"/>
        <w:rPr>
          <w:sz w:val="59"/>
        </w:rPr>
      </w:pPr>
      <w:bookmarkStart w:name="" w:id="138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其中：</w:t>
      </w:r>
      <w:bookmarkEnd w:id="1382"/>
    </w:p>
    <w:p>
      <w:pPr>
        <w:pageBreakBefore w:val="off"/>
        <w:tabs/>
        <w:wordWrap w:val="off"/>
        <w:spacing w:before="0" w:after="0" w:line="1000" w:lineRule="atLeast"/>
        <w:ind w:left="20" w:right="20" w:firstLine="1260"/>
        <w:jc w:val="both"/>
        <w:textAlignment w:val="baseline"/>
        <w:rPr>
          <w:sz w:val="59"/>
        </w:rPr>
      </w:pPr>
      <w:bookmarkStart w:name="" w:id="138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GND 为该用户上网表计反向有功电能示值曲线待拟合时点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数据；</w:t>
      </w:r>
      <w:bookmarkEnd w:id="1383"/>
    </w:p>
    <w:p>
      <w:pPr>
        <w:pageBreakBefore w:val="off"/>
        <w:tabs/>
        <w:wordWrap w:val="off"/>
        <w:spacing w:before="0" w:after="0" w:line="1000" w:lineRule="atLeast"/>
        <w:ind w:left="40" w:right="40" w:firstLine="1260"/>
        <w:jc w:val="both"/>
        <w:textAlignment w:val="baseline"/>
        <w:rPr>
          <w:sz w:val="59"/>
        </w:rPr>
      </w:pPr>
      <w:bookmarkStart w:name="" w:id="1384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G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ND-1</m:t>
            </m:r>
          </m:sub>
        </m:sSub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为该用户上网表计反向有功电能示值曲线缺失段前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一点数据；</w:t>
      </w:r>
      <w:bookmarkEnd w:id="1384"/>
    </w:p>
    <w:p>
      <w:pPr>
        <w:pageBreakBefore w:val="off"/>
        <w:tabs/>
        <w:wordWrap w:val="off"/>
        <w:spacing w:before="0" w:after="0" w:line="1000" w:lineRule="atLeast"/>
        <w:ind w:left="40" w:right="40" w:firstLine="1260"/>
        <w:jc w:val="both"/>
        <w:textAlignment w:val="baseline"/>
        <w:rPr>
          <w:sz w:val="59"/>
        </w:rPr>
      </w:pPr>
      <w:bookmarkStart w:name="" w:id="1385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G</m:t>
            </m:r>
          </m:e>
          <m:sub>
            <m:sSub>
              <m:e/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ND-ED</m:t>
                </m:r>
              </m:sub>
            </m:sSub>
          </m:sub>
        </m:sSub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为该用户上网表计反向有功电能示值曲线缺失段后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一点数据；</w:t>
      </w:r>
      <w:bookmarkEnd w:id="1385"/>
    </w:p>
    <w:p>
      <w:pPr>
        <w:pageBreakBefore w:val="off"/>
        <w:tabs/>
        <w:wordWrap w:val="off"/>
        <w:spacing w:before="0" w:after="0" w:line="1000" w:lineRule="atLeast"/>
        <w:ind w:left="40" w:right="0" w:firstLine="1260"/>
        <w:jc w:val="both"/>
        <w:textAlignment w:val="baseline"/>
        <w:rPr>
          <w:sz w:val="59"/>
        </w:rPr>
      </w:pPr>
      <w:bookmarkStart w:name="" w:id="1386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F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ND</m:t>
            </m:r>
          </m:sub>
        </m:sSub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为该用户上网表计使用A 中方法计算对应GND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G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ND</m:t>
            </m:r>
          </m:sub>
        </m:sSub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的拟合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点数据；</w:t>
      </w:r>
      <w:bookmarkEnd w:id="1386"/>
    </w:p>
    <w:p>
      <w:pPr>
        <w:pageBreakBefore w:val="off"/>
        <w:tabs/>
        <w:wordWrap w:val="off"/>
        <w:spacing w:before="0" w:after="0" w:line="1000" w:lineRule="atLeast"/>
        <w:ind w:left="40" w:right="300" w:firstLine="1260"/>
        <w:jc w:val="both"/>
        <w:textAlignment w:val="baseline"/>
        <w:rPr>
          <w:sz w:val="59"/>
        </w:rPr>
      </w:pPr>
      <w:bookmarkStart w:name="" w:id="1387"/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F</m:t>
            </m:r>
          </m:e>
          <m:sub>
            <m:r>
              <w:rPr>
                <w:rFonts w:ascii="Cambria Math" w:hAnsi="Cambria Math"/>
                <w:sz w:val="58"/>
                <w:szCs w:val="58"/>
              </w:rPr>
              <m:t>ND-ED</m:t>
            </m:r>
          </m:sub>
        </m:sSub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为该用户上网表计使用 A 中方法计算对应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  <w:sz w:val="58"/>
                <w:szCs w:val="58"/>
              </w:rPr>
              <m:t>G</m:t>
            </m:r>
          </m:e>
          <m:sub>
            <m:sSub>
              <m:e/>
              <m:sub>
                <m:r>
                  <w:rPr>
                    <w:rFonts w:ascii="Cambria Math" w:hAnsi="Cambria Math"/>
                    <w:sz w:val="58"/>
                    <w:szCs w:val="58"/>
                  </w:rPr>
                  <m:t>ND-ED</m:t>
                </m:r>
              </m:sub>
            </m:sSub>
          </m:sub>
        </m:sSub>
      </m:oMath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的拟合点数据。</w:t>
      </w:r>
      <w:bookmarkEnd w:id="1387"/>
    </w:p>
    <w:p>
      <w:pPr>
        <w:pageBreakBefore w:val="off"/>
        <w:tabs/>
        <w:wordWrap w:val="off"/>
        <w:spacing w:before="700" w:after="0" w:line="680" w:lineRule="atLeast"/>
        <w:ind w:left="0" w:right="0"/>
        <w:jc w:val="center"/>
        <w:textAlignment w:val="baseline"/>
        <w:rPr>
          <w:sz w:val="50"/>
        </w:rPr>
      </w:pPr>
      <w:bookmarkStart w:name="" w:id="1388"/>
      <w:r>
        <w:rPr>
          <w:rFonts w:ascii="宋体" w:hAnsi="宋体" w:cs="宋体" w:eastAsia="宋体"/>
          <w:sz w:val="50"/>
          <w:spacing w:val="0"/>
          <w:color w:val="000000"/>
          <w:b w:val="off"/>
          <w:i w:val="off"/>
        </w:rPr>
        <w:t>19</w:t>
      </w:r>
      <w:bookmarkEnd w:id="1388"/>
    </w:p>
    <w:p>
      <w:r>
        <w:t/>
      </w:r>
    </w:p>
    <w:p>
      <w:pPr>
        <w:sectPr>
          <w:footerReference r:id="rId47"/>
          <w:headerReference r:id="rId48" w:type="default"/>
          <w:type w:val="nextPage"/>
          <w:pgSz w:w="22400" w:h="31680"/>
          <w:pgMar w:left="2760" w:top="2220" w:right="2760" w:bottom="2220" w:header="1920" w:footer="1920"/>
          <w:cols w:num="1"/>
        </w:sectPr>
      </w:pPr>
    </w:p>
    <w:p>
      <w:pPr>
        <w:pageBreakBefore w:val="off"/>
        <w:tabs/>
        <w:wordWrap w:val="off"/>
        <w:spacing w:before="660" w:after="0" w:line="1180" w:lineRule="atLeast"/>
        <w:ind w:left="1440" w:right="0"/>
        <w:jc w:val="both"/>
        <w:textAlignment w:val="baseline"/>
        <w:rPr>
          <w:sz w:val="60"/>
        </w:rPr>
      </w:pPr>
      <w:bookmarkStart w:name="" w:id="1389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(3)特殊情况拟合</w:t>
      </w:r>
      <w:bookmarkEnd w:id="1389"/>
    </w:p>
    <w:p>
      <w:pPr>
        <w:pageBreakBefore w:val="off"/>
        <w:tabs/>
        <w:wordWrap w:val="off"/>
        <w:spacing w:before="0" w:after="0" w:line="1180" w:lineRule="atLeast"/>
        <w:ind w:left="0" w:right="0" w:firstLine="1200"/>
        <w:jc w:val="both"/>
        <w:textAlignment w:val="baseline"/>
        <w:rPr>
          <w:sz w:val="60"/>
        </w:rPr>
      </w:pPr>
      <w:bookmarkStart w:name="" w:id="1390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对于因用户原因办理暂停以及拆除计量点流程表计、销户流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程表计和电表更换流程跨日归档等特殊情况的拟合，按照“9.3.1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用户侧(含售电公司)拟合规则”第(5)、(6)进行拟合补全。</w:t>
      </w:r>
      <w:bookmarkEnd w:id="1390"/>
    </w:p>
    <w:p>
      <w:pPr>
        <w:pageBreakBefore w:val="off"/>
        <w:tabs/>
        <w:wordWrap w:val="off"/>
        <w:spacing w:before="0" w:after="0" w:line="880" w:lineRule="atLeast"/>
        <w:ind w:left="1200" w:right="0"/>
        <w:jc w:val="both"/>
        <w:textAlignment w:val="baseline"/>
        <w:rPr>
          <w:sz w:val="65"/>
        </w:rPr>
      </w:pPr>
      <w:bookmarkStart w:name="" w:id="1391"/>
      <w:r>
        <w:rPr>
          <w:rFonts w:ascii="黑体" w:hAnsi="黑体" w:cs="黑体" w:eastAsia="黑体"/>
          <w:sz w:val="65"/>
          <w:spacing w:val="0"/>
          <w:color w:val="000000"/>
          <w:b w:val="on"/>
          <w:i w:val="off"/>
        </w:rPr>
        <w:t>10.附则</w:t>
      </w:r>
      <w:bookmarkEnd w:id="1391"/>
    </w:p>
    <w:p>
      <w:pPr>
        <w:pageBreakBefore w:val="off"/>
        <w:tabs/>
        <w:wordWrap w:val="off"/>
        <w:spacing w:before="0" w:after="0" w:line="1180" w:lineRule="atLeast"/>
        <w:ind w:left="0" w:right="0" w:firstLine="1200"/>
        <w:jc w:val="both"/>
        <w:textAlignment w:val="baseline"/>
        <w:rPr>
          <w:sz w:val="60"/>
        </w:rPr>
      </w:pPr>
      <w:bookmarkStart w:name="" w:id="1392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10.1本规则未尽事宜按照国家有关法律法规和规范性文件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规定处理。</w:t>
      </w:r>
      <w:bookmarkEnd w:id="1392"/>
    </w:p>
    <w:p>
      <w:pPr>
        <w:pageBreakBefore w:val="off"/>
        <w:tabs/>
        <w:wordWrap w:val="off"/>
        <w:spacing w:before="0" w:after="0" w:line="1180" w:lineRule="atLeast"/>
        <w:ind w:left="0" w:right="0" w:firstLine="1200"/>
        <w:jc w:val="both"/>
        <w:textAlignment w:val="baseline"/>
        <w:rPr>
          <w:sz w:val="60"/>
        </w:rPr>
      </w:pPr>
      <w:bookmarkStart w:name="" w:id="1393"/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10.2本实施细则自发布之日起施行，结合市场实际运营情</w:t>
      </w:r>
      <w:r>
        <w:rPr>
          <w:rFonts w:ascii="仿宋" w:hAnsi="仿宋" w:cs="仿宋" w:eastAsia="仿宋"/>
          <w:sz w:val="60"/>
          <w:spacing w:val="0"/>
          <w:color w:val="000000"/>
          <w:b w:val="off"/>
          <w:i w:val="off"/>
        </w:rPr>
        <w:t>况，不定期修订。</w:t>
      </w:r>
      <w:bookmarkEnd w:id="1393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394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394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39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395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396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396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39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397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398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398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399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399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40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400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40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401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40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402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403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403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404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404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40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405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406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406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40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407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408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408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409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409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41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410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41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411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412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412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413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413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414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414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415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415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416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416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417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417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418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418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419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419"/>
    </w:p>
    <w:p>
      <w:pPr>
        <w:pageBreakBefore w:val="off"/>
        <w:tabs/>
        <w:wordWrap w:val="off"/>
        <w:spacing w:before="0" w:after="0" w:line="540" w:lineRule="exact"/>
        <w:ind w:left="0" w:right="0"/>
        <w:jc w:val="both"/>
        <w:textAlignment w:val="baseline"/>
        <w:rPr>
          <w:sz w:val="45"/>
        </w:rPr>
      </w:pPr>
      <w:bookmarkStart w:name="" w:id="1420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/>
      </w:r>
      <w:bookmarkEnd w:id="1420"/>
    </w:p>
    <w:p>
      <w:pPr>
        <w:pageBreakBefore w:val="off"/>
        <w:tabs/>
        <w:wordWrap w:val="off"/>
        <w:spacing w:before="0" w:after="0" w:line="620" w:lineRule="atLeast"/>
        <w:ind w:left="0" w:right="0"/>
        <w:jc w:val="center"/>
        <w:textAlignment w:val="baseline"/>
        <w:rPr>
          <w:sz w:val="45"/>
        </w:rPr>
      </w:pPr>
      <w:bookmarkStart w:name="" w:id="1421"/>
      <w:r>
        <w:rPr>
          <w:rFonts w:ascii="宋体" w:hAnsi="宋体" w:cs="宋体" w:eastAsia="宋体"/>
          <w:sz w:val="45"/>
          <w:spacing w:val="0"/>
          <w:color w:val="000000"/>
          <w:b w:val="off"/>
          <w:i w:val="off"/>
        </w:rPr>
        <w:t>20</w:t>
      </w:r>
      <w:bookmarkEnd w:id="1421"/>
    </w:p>
    <w:p>
      <w:r>
        <w:t/>
      </w:r>
    </w:p>
    <w:p>
      <w:pPr>
        <w:sectPr>
          <w:footerReference r:id="rId49"/>
          <w:headerReference r:id="rId50" w:type="default"/>
          <w:type w:val="nextPage"/>
          <w:pgSz w:w="22400" w:h="31680"/>
          <w:pgMar w:left="2900" w:top="2280" w:right="2900" w:bottom="2280" w:header="1980" w:footer="1980"/>
          <w:cols w:num="1"/>
        </w:sectPr>
      </w:pPr>
    </w:p>
    <w:p>
      <w:pPr>
        <w:pageBreakBefore w:val="off"/>
        <w:tabs/>
        <w:wordWrap w:val="off"/>
        <w:spacing w:before="580" w:after="0" w:line="760" w:lineRule="atLeast"/>
        <w:ind w:left="0" w:right="0"/>
        <w:jc w:val="both"/>
        <w:textAlignment w:val="baseline"/>
        <w:rPr>
          <w:sz w:val="56"/>
        </w:rPr>
      </w:pPr>
      <w:bookmarkStart w:name="" w:id="1422"/>
      <w:r>
        <w:rPr>
          <w:rFonts w:ascii="黑体" w:hAnsi="黑体" w:cs="黑体" w:eastAsia="黑体"/>
          <w:sz w:val="56"/>
          <w:spacing w:val="0"/>
          <w:color w:val="000000"/>
          <w:b w:val="on"/>
          <w:i w:val="off"/>
        </w:rPr>
        <w:t>附件</w:t>
      </w:r>
      <w:bookmarkEnd w:id="1422"/>
    </w:p>
    <w:p>
      <w:pPr>
        <w:pageBreakBefore w:val="off"/>
        <w:tabs/>
        <w:wordWrap w:val="off"/>
        <w:spacing w:before="0" w:after="0" w:line="1100" w:lineRule="atLeast"/>
        <w:ind w:left="0" w:right="0"/>
        <w:jc w:val="center"/>
        <w:textAlignment w:val="baseline"/>
        <w:rPr>
          <w:sz w:val="80"/>
        </w:rPr>
      </w:pPr>
      <w:bookmarkStart w:name="" w:id="1423"/>
      <w:r>
        <w:rPr>
          <w:rFonts w:ascii="黑体" w:hAnsi="黑体" w:cs="黑体" w:eastAsia="黑体"/>
          <w:sz w:val="80"/>
          <w:spacing w:val="0"/>
          <w:color w:val="000000"/>
          <w:b w:val="on"/>
          <w:i w:val="off"/>
        </w:rPr>
        <w:t>名词解释</w:t>
      </w:r>
      <w:bookmarkEnd w:id="1423"/>
    </w:p>
    <w:p>
      <w:pPr>
        <w:pageBreakBefore w:val="off"/>
        <w:tabs/>
        <w:wordWrap w:val="off"/>
        <w:spacing w:before="0" w:after="0" w:line="1080" w:lineRule="exact"/>
        <w:ind w:left="0" w:right="0"/>
        <w:jc w:val="center"/>
        <w:textAlignment w:val="baseline"/>
        <w:rPr>
          <w:sz w:val="58"/>
        </w:rPr>
      </w:pPr>
      <w:bookmarkStart w:name="" w:id="1424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424"/>
    </w:p>
    <w:p>
      <w:pPr>
        <w:pageBreakBefore w:val="off"/>
        <w:tabs/>
        <w:wordWrap w:val="off"/>
        <w:spacing w:before="0" w:after="0" w:line="1060" w:lineRule="atLeast"/>
        <w:ind w:left="0" w:right="0" w:firstLine="1220"/>
        <w:jc w:val="both"/>
        <w:textAlignment w:val="baseline"/>
        <w:rPr>
          <w:sz w:val="58"/>
        </w:rPr>
      </w:pPr>
      <w:bookmarkStart w:name="" w:id="142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电能计量点：各经营主体间包括电网企业之间、电网企业与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发电企业之间、电网企业与电力用户之间、电网企业与拥有配电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网运营权的售电公司之间、拥有配电网运营权的售电公司与其供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电范围内用户之间、发电企业发电单元进行电能量结算、考核的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计量点，简称电能计量点。</w:t>
      </w:r>
      <w:bookmarkEnd w:id="1425"/>
    </w:p>
    <w:p>
      <w:pPr>
        <w:pageBreakBefore w:val="off"/>
        <w:tabs/>
        <w:wordWrap w:val="off"/>
        <w:spacing w:before="0" w:after="0" w:line="1060" w:lineRule="atLeast"/>
        <w:ind w:left="0" w:right="0" w:firstLine="1220"/>
        <w:jc w:val="both"/>
        <w:textAlignment w:val="baseline"/>
        <w:rPr>
          <w:sz w:val="58"/>
        </w:rPr>
      </w:pPr>
      <w:bookmarkStart w:name="" w:id="142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电能计量装置：由计量用电能表、电压互感器(或专用二次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绕组)、电流互感器(或专用二次绕组)及其二次回路相连接组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成的用于计量电能的装置，包括电能计量柜(箱、屏)、电能量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采集终端。电能量采集终端是安装在电能计量点的电能量采集设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备，具有按一定规约对电能表数据进行采集、处理、分时存储、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长时间保存和远方传输等功能。</w:t>
      </w:r>
      <w:bookmarkEnd w:id="1426"/>
    </w:p>
    <w:p>
      <w:pPr>
        <w:pageBreakBefore w:val="off"/>
        <w:tabs/>
        <w:wordWrap w:val="off"/>
        <w:spacing w:before="0" w:after="0" w:line="1060" w:lineRule="atLeast"/>
        <w:ind w:left="0" w:right="20" w:firstLine="1220"/>
        <w:jc w:val="both"/>
        <w:textAlignment w:val="baseline"/>
        <w:rPr>
          <w:sz w:val="58"/>
        </w:rPr>
      </w:pPr>
      <w:bookmarkStart w:name="" w:id="142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采集成功：电能计量点电能表电能示值(包括日冻结电能示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值和电能示值曲线)正常传输至用电信息采集系统，且数据完整、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准确。</w:t>
      </w:r>
      <w:bookmarkEnd w:id="1427"/>
    </w:p>
    <w:p>
      <w:pPr>
        <w:pageBreakBefore w:val="off"/>
        <w:tabs/>
        <w:wordWrap w:val="off"/>
        <w:spacing w:before="0" w:after="0" w:line="1060" w:lineRule="atLeast"/>
        <w:ind w:left="0" w:right="0" w:firstLine="1220"/>
        <w:jc w:val="both"/>
        <w:textAlignment w:val="baseline"/>
        <w:rPr>
          <w:sz w:val="58"/>
        </w:rPr>
      </w:pPr>
      <w:bookmarkStart w:name="" w:id="142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采集异常：电能计量点电能表电能示值(包括日冻结电能示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值和电能示值曲线)采集正常，但与现场电能表计量示值不一致。</w:t>
      </w:r>
      <w:bookmarkEnd w:id="1428"/>
    </w:p>
    <w:p>
      <w:pPr>
        <w:pageBreakBefore w:val="off"/>
        <w:tabs/>
        <w:wordWrap w:val="off"/>
        <w:spacing w:before="0" w:after="0" w:line="1060" w:lineRule="atLeast"/>
        <w:ind w:left="0" w:right="60" w:firstLine="1220"/>
        <w:jc w:val="both"/>
        <w:textAlignment w:val="baseline"/>
        <w:rPr>
          <w:sz w:val="58"/>
        </w:rPr>
      </w:pPr>
      <w:bookmarkStart w:name="" w:id="142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采集失败：电能计量点电能表、采集终端对用电信息采集系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统命令无响应的，或者电能示值曲线采集不完整的。</w:t>
      </w:r>
      <w:bookmarkEnd w:id="1429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143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430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143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43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143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43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143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43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143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434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143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435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43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21</w:t>
      </w:r>
      <w:bookmarkEnd w:id="1436"/>
    </w:p>
    <w:sectPr>
      <w:footerReference r:id="rId51"/>
      <w:headerReference r:id="rId52" w:type="default"/>
      <w:type w:val="nextPage"/>
      <w:pgSz w:w="22400" w:h="31680"/>
      <w:pgMar w:left="2880" w:top="2280" w:right="2880" w:bottom="2280" w:header="1980" w:footer="198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footer21.xml><?xml version="1.0" encoding="utf-8"?>
<w:ftr xmlns:w="http://schemas.openxmlformats.org/wordprocessingml/2006/main">
  <w:p/>
</w:ftr>
</file>

<file path=word/footer22.xml><?xml version="1.0" encoding="utf-8"?>
<w:ftr xmlns:w="http://schemas.openxmlformats.org/wordprocessingml/2006/main">
  <w:p/>
</w:ftr>
</file>

<file path=word/footer23.xml><?xml version="1.0" encoding="utf-8"?>
<w:ftr xmlns:w="http://schemas.openxmlformats.org/wordprocessingml/2006/main">
  <w:p/>
</w:ftr>
</file>

<file path=word/footer24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header21.xml><?xml version="1.0" encoding="utf-8"?>
<w:hdr xmlns:w="http://schemas.openxmlformats.org/wordprocessingml/2006/main">
  <w:p/>
</w:hdr>
</file>

<file path=word/header22.xml><?xml version="1.0" encoding="utf-8"?>
<w:hdr xmlns:w="http://schemas.openxmlformats.org/wordprocessingml/2006/main">
  <w:p/>
</w:hdr>
</file>

<file path=word/header23.xml><?xml version="1.0" encoding="utf-8"?>
<w:hdr xmlns:w="http://schemas.openxmlformats.org/wordprocessingml/2006/main">
  <w:p/>
</w:hdr>
</file>

<file path=word/header24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3.xml" Type="http://schemas.openxmlformats.org/officeDocument/2006/relationships/header"/><Relationship Id="rId11" Target="footer4.xml" Type="http://schemas.openxmlformats.org/officeDocument/2006/relationships/footer"/><Relationship Id="rId12" Target="header4.xml" Type="http://schemas.openxmlformats.org/officeDocument/2006/relationships/header"/><Relationship Id="rId13" Target="footer5.xml" Type="http://schemas.openxmlformats.org/officeDocument/2006/relationships/footer"/><Relationship Id="rId14" Target="header5.xml" Type="http://schemas.openxmlformats.org/officeDocument/2006/relationships/header"/><Relationship Id="rId15" Target="footer6.xml" Type="http://schemas.openxmlformats.org/officeDocument/2006/relationships/footer"/><Relationship Id="rId16" Target="header6.xml" Type="http://schemas.openxmlformats.org/officeDocument/2006/relationships/header"/><Relationship Id="rId17" Target="footer7.xml" Type="http://schemas.openxmlformats.org/officeDocument/2006/relationships/footer"/><Relationship Id="rId18" Target="header7.xml" Type="http://schemas.openxmlformats.org/officeDocument/2006/relationships/header"/><Relationship Id="rId19" Target="footer8.xml" Type="http://schemas.openxmlformats.org/officeDocument/2006/relationships/footer"/><Relationship Id="rId2" Target="theme/theme-1.xml" Type="http://schemas.openxmlformats.org/officeDocument/2006/relationships/theme"/><Relationship Id="rId20" Target="header8.xml" Type="http://schemas.openxmlformats.org/officeDocument/2006/relationships/header"/><Relationship Id="rId21" Target="footer9.xml" Type="http://schemas.openxmlformats.org/officeDocument/2006/relationships/footer"/><Relationship Id="rId22" Target="header9.xml" Type="http://schemas.openxmlformats.org/officeDocument/2006/relationships/header"/><Relationship Id="rId23" Target="footer10.xml" Type="http://schemas.openxmlformats.org/officeDocument/2006/relationships/footer"/><Relationship Id="rId24" Target="header10.xml" Type="http://schemas.openxmlformats.org/officeDocument/2006/relationships/header"/><Relationship Id="rId25" Target="footer11.xml" Type="http://schemas.openxmlformats.org/officeDocument/2006/relationships/footer"/><Relationship Id="rId26" Target="header11.xml" Type="http://schemas.openxmlformats.org/officeDocument/2006/relationships/header"/><Relationship Id="rId27" Target="footer12.xml" Type="http://schemas.openxmlformats.org/officeDocument/2006/relationships/footer"/><Relationship Id="rId28" Target="header12.xml" Type="http://schemas.openxmlformats.org/officeDocument/2006/relationships/header"/><Relationship Id="rId29" Target="footer13.xml" Type="http://schemas.openxmlformats.org/officeDocument/2006/relationships/footer"/><Relationship Id="rId3" Target="media/image1.jpeg" Type="http://schemas.openxmlformats.org/officeDocument/2006/relationships/image"/><Relationship Id="rId30" Target="header13.xml" Type="http://schemas.openxmlformats.org/officeDocument/2006/relationships/header"/><Relationship Id="rId31" Target="footer14.xml" Type="http://schemas.openxmlformats.org/officeDocument/2006/relationships/footer"/><Relationship Id="rId32" Target="header14.xml" Type="http://schemas.openxmlformats.org/officeDocument/2006/relationships/header"/><Relationship Id="rId33" Target="footer15.xml" Type="http://schemas.openxmlformats.org/officeDocument/2006/relationships/footer"/><Relationship Id="rId34" Target="header15.xml" Type="http://schemas.openxmlformats.org/officeDocument/2006/relationships/header"/><Relationship Id="rId35" Target="footer16.xml" Type="http://schemas.openxmlformats.org/officeDocument/2006/relationships/footer"/><Relationship Id="rId36" Target="header16.xml" Type="http://schemas.openxmlformats.org/officeDocument/2006/relationships/header"/><Relationship Id="rId37" Target="footer17.xml" Type="http://schemas.openxmlformats.org/officeDocument/2006/relationships/footer"/><Relationship Id="rId38" Target="header17.xml" Type="http://schemas.openxmlformats.org/officeDocument/2006/relationships/header"/><Relationship Id="rId39" Target="footer18.xml" Type="http://schemas.openxmlformats.org/officeDocument/2006/relationships/footer"/><Relationship Id="rId4" Target="media/image2.jpeg" Type="http://schemas.openxmlformats.org/officeDocument/2006/relationships/image"/><Relationship Id="rId40" Target="header18.xml" Type="http://schemas.openxmlformats.org/officeDocument/2006/relationships/header"/><Relationship Id="rId41" Target="footer19.xml" Type="http://schemas.openxmlformats.org/officeDocument/2006/relationships/footer"/><Relationship Id="rId42" Target="header19.xml" Type="http://schemas.openxmlformats.org/officeDocument/2006/relationships/header"/><Relationship Id="rId43" Target="footer20.xml" Type="http://schemas.openxmlformats.org/officeDocument/2006/relationships/footer"/><Relationship Id="rId44" Target="header20.xml" Type="http://schemas.openxmlformats.org/officeDocument/2006/relationships/header"/><Relationship Id="rId45" Target="footer21.xml" Type="http://schemas.openxmlformats.org/officeDocument/2006/relationships/footer"/><Relationship Id="rId46" Target="header21.xml" Type="http://schemas.openxmlformats.org/officeDocument/2006/relationships/header"/><Relationship Id="rId47" Target="footer22.xml" Type="http://schemas.openxmlformats.org/officeDocument/2006/relationships/footer"/><Relationship Id="rId48" Target="header22.xml" Type="http://schemas.openxmlformats.org/officeDocument/2006/relationships/header"/><Relationship Id="rId49" Target="footer23.xml" Type="http://schemas.openxmlformats.org/officeDocument/2006/relationships/footer"/><Relationship Id="rId5" Target="footer1.xml" Type="http://schemas.openxmlformats.org/officeDocument/2006/relationships/footer"/><Relationship Id="rId50" Target="header23.xml" Type="http://schemas.openxmlformats.org/officeDocument/2006/relationships/header"/><Relationship Id="rId51" Target="footer24.xml" Type="http://schemas.openxmlformats.org/officeDocument/2006/relationships/footer"/><Relationship Id="rId52" Target="header24.xml" Type="http://schemas.openxmlformats.org/officeDocument/2006/relationships/header"/><Relationship Id="rId6" Target="header1.xml" Type="http://schemas.openxmlformats.org/officeDocument/2006/relationships/header"/><Relationship Id="rId7" Target="footer2.xml" Type="http://schemas.openxmlformats.org/officeDocument/2006/relationships/footer"/><Relationship Id="rId8" Target="header2.xml" Type="http://schemas.openxmlformats.org/officeDocument/2006/relationships/header"/><Relationship Id="rId9" Target="footer3.xml" Type="http://schemas.openxmlformats.org/officeDocument/2006/relationships/foot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2026-03-20T07:58:13Z</dcterms:created>
  <dc:creator>Apache POI</dc:creator>
</cp:coreProperties>
</file>