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6E3C" w14:textId="77777777" w:rsidR="00655996" w:rsidRDefault="00655996" w:rsidP="00655996">
      <w:pPr>
        <w:pStyle w:val="ae"/>
        <w:shd w:val="clear" w:color="auto" w:fill="FFFFFF"/>
        <w:spacing w:before="0" w:beforeAutospacing="0" w:after="0" w:afterAutospacing="0" w:line="480" w:lineRule="auto"/>
        <w:ind w:firstLine="480"/>
        <w:jc w:val="center"/>
        <w:textAlignment w:val="baseline"/>
        <w:rPr>
          <w:color w:val="333333"/>
        </w:rPr>
      </w:pPr>
      <w:r>
        <w:rPr>
          <w:rFonts w:hint="eastAsia"/>
          <w:b/>
          <w:bCs/>
          <w:color w:val="333333"/>
          <w:sz w:val="28"/>
          <w:szCs w:val="28"/>
          <w:bdr w:val="none" w:sz="0" w:space="0" w:color="auto" w:frame="1"/>
        </w:rPr>
        <w:t>关于完善2026年度电力中长期交易价格机制的通知</w:t>
      </w:r>
    </w:p>
    <w:p w14:paraId="2B89BDC1" w14:textId="77777777" w:rsidR="00655996" w:rsidRDefault="00655996" w:rsidP="00655996">
      <w:pPr>
        <w:pStyle w:val="ae"/>
        <w:shd w:val="clear" w:color="auto" w:fill="FFFFFF"/>
        <w:spacing w:before="0" w:beforeAutospacing="0" w:after="0" w:afterAutospacing="0" w:line="480" w:lineRule="auto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bdr w:val="none" w:sz="0" w:space="0" w:color="auto" w:frame="1"/>
        </w:rPr>
        <w:t>国网湖南省电力有限公司、湖南电力交易中心有限公司、相关发电企业、售电公司、零售用户:</w:t>
      </w:r>
    </w:p>
    <w:p w14:paraId="5E41534D" w14:textId="77777777" w:rsidR="00655996" w:rsidRDefault="00655996" w:rsidP="00655996">
      <w:pPr>
        <w:pStyle w:val="ae"/>
        <w:shd w:val="clear" w:color="auto" w:fill="FFFFFF"/>
        <w:spacing w:before="360" w:beforeAutospacing="0" w:after="360" w:afterAutospacing="0" w:line="480" w:lineRule="auto"/>
        <w:ind w:firstLine="480"/>
        <w:jc w:val="both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为贯彻落实《电力市场运行基本规则》(国家发展改革委2024年第20号令)、《电力中长期市场基本规则》(发改能源规〔2025〕1656号)、《电力现货连续运行地区市场建设指引》(发改能源〔2025〕1171号)、《国家发展改革委 国家能源局关于做好2026年电力中长期合同签约履约工作的通知》(发改运行〔2025〕1502号)等要求,深化电力市场化改革,促进市场平稳运行和价格信号有效传导,结合我省电力市场建设进展与当前供需形势,现就完善2026年度电力中长期交易价格机制有关事项通知如下:</w:t>
      </w:r>
    </w:p>
    <w:p w14:paraId="0B25A80A" w14:textId="77777777" w:rsidR="00655996" w:rsidRDefault="00655996" w:rsidP="00655996">
      <w:pPr>
        <w:pStyle w:val="ae"/>
        <w:shd w:val="clear" w:color="auto" w:fill="FFFFFF"/>
        <w:spacing w:before="360" w:beforeAutospacing="0" w:after="360" w:afterAutospacing="0" w:line="480" w:lineRule="auto"/>
        <w:ind w:firstLine="480"/>
        <w:jc w:val="both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一、优化中长期价格形成机制。2026年度全省电力中长期交易全面建立反映市场供需、发电成本变化等因素的灵活价格机制。市场主体在签订中长期交易合同时,不得强制要求签订固定价格。</w:t>
      </w:r>
    </w:p>
    <w:p w14:paraId="3EAC2CCC" w14:textId="77777777" w:rsidR="00655996" w:rsidRDefault="00655996" w:rsidP="00655996">
      <w:pPr>
        <w:pStyle w:val="ae"/>
        <w:shd w:val="clear" w:color="auto" w:fill="FFFFFF"/>
        <w:spacing w:before="360" w:beforeAutospacing="0" w:after="360" w:afterAutospacing="0" w:line="480" w:lineRule="auto"/>
        <w:ind w:firstLine="480"/>
        <w:jc w:val="both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二、中长期价格与现货价格挂钩联动。为平稳过渡并引导市场预期,2026年,市场主体自主签订的省内年度中长期电力交易合同,其电量按以下比例签订相应价格:合同电量的40%可协商约定固定价格,其价格不得超过我省中长期交易价格上限相关规定;合同电量的60%执行反映实时供需的灵活价格(按实时市场统一结算点电价确定)。</w:t>
      </w:r>
    </w:p>
    <w:p w14:paraId="6E3F6B8B" w14:textId="77777777" w:rsidR="00655996" w:rsidRDefault="00655996" w:rsidP="00655996">
      <w:pPr>
        <w:pStyle w:val="ae"/>
        <w:shd w:val="clear" w:color="auto" w:fill="FFFFFF"/>
        <w:spacing w:before="360" w:beforeAutospacing="0" w:after="360" w:afterAutospacing="0" w:line="480" w:lineRule="auto"/>
        <w:ind w:firstLine="480"/>
        <w:jc w:val="both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湘发改运行〔2025〕830号文中有关价格机制按上述要求调整。上述价格机制自2026年2月份的年度多月交易开始执行,与本通知要求不符的,依此通知相</w:t>
      </w:r>
      <w:r>
        <w:rPr>
          <w:rFonts w:hint="eastAsia"/>
          <w:color w:val="333333"/>
        </w:rPr>
        <w:lastRenderedPageBreak/>
        <w:t>关要求执行。请各市场主体准确把握政策要求,依法合规开展2026年度中长期合同协商与签订工作,共同维护电力市场秩序。</w:t>
      </w:r>
    </w:p>
    <w:p w14:paraId="120DA0BF" w14:textId="77777777" w:rsidR="00655996" w:rsidRDefault="00655996" w:rsidP="00655996">
      <w:pPr>
        <w:pStyle w:val="ae"/>
        <w:shd w:val="clear" w:color="auto" w:fill="FFFFFF"/>
        <w:spacing w:before="360" w:beforeAutospacing="0" w:after="360" w:afterAutospacing="0" w:line="480" w:lineRule="auto"/>
        <w:ind w:firstLine="480"/>
        <w:jc w:val="right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湖南省发展和改革委员会</w:t>
      </w:r>
    </w:p>
    <w:p w14:paraId="2FDC6C6C" w14:textId="77777777" w:rsidR="00655996" w:rsidRDefault="00655996" w:rsidP="00655996">
      <w:pPr>
        <w:pStyle w:val="ae"/>
        <w:shd w:val="clear" w:color="auto" w:fill="FFFFFF"/>
        <w:spacing w:before="360" w:beforeAutospacing="0" w:after="360" w:afterAutospacing="0" w:line="480" w:lineRule="auto"/>
        <w:ind w:firstLine="480"/>
        <w:jc w:val="right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2025年12月31日</w:t>
      </w:r>
    </w:p>
    <w:p w14:paraId="66F573AB" w14:textId="77777777" w:rsidR="006366A5" w:rsidRDefault="006366A5"/>
    <w:sectPr w:rsidR="006366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8E"/>
    <w:rsid w:val="00116D5F"/>
    <w:rsid w:val="00446160"/>
    <w:rsid w:val="0062088E"/>
    <w:rsid w:val="006366A5"/>
    <w:rsid w:val="00655996"/>
    <w:rsid w:val="00D200A2"/>
    <w:rsid w:val="00D7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81A57BB-7BA2-1542-8726-353E1178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8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8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8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8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8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8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8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8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8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8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8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8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8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8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8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8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8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8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8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8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8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8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88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5599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Xuanzhe Du</dc:creator>
  <cp:keywords/>
  <dc:description/>
  <cp:lastModifiedBy>Xuanzhe Du</cp:lastModifiedBy>
  <cp:revision>2</cp:revision>
  <dcterms:created xsi:type="dcterms:W3CDTF">2026-04-09T02:30:00Z</dcterms:created>
  <dcterms:modified xsi:type="dcterms:W3CDTF">2026-04-09T02:30:00Z</dcterms:modified>
</cp:coreProperties>
</file>