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0" w:after="200" w:line="24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84"/>
        </w:rPr>
        <w:t>TT16</w:t>
      </w:r>
    </w:p>
    <w:p>
      <w:pPr>
        <w:keepNext w:val="0"/>
        <w:keepLines w:val="0"/>
        <w:spacing w:before="0" w:after="120" w:line="24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52"/>
        </w:rPr>
        <w:t>TradeType 16</w:t>
      </w:r>
    </w:p>
    <w:p>
      <w:pPr>
        <w:keepNext w:val="0"/>
        <w:keepLines w:val="0"/>
        <w:spacing w:before="0" w:after="440" w:line="24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4"/>
        </w:rPr>
        <w:t>交易人格十六型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584"/>
            <w:shd w:fill="2563EB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0891B2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0F766E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584"/>
            <w:shd w:fill="D97706"/>
            <w:tcMar>
              <w:top w:w="45" w:type="dxa"/>
              <w:start w:w="0" w:type="dxa"/>
              <w:bottom w:w="45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keepNext w:val="0"/>
        <w:keepLines w:val="0"/>
        <w:spacing w:before="360" w:after="80" w:line="264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475569"/>
          <w:sz w:val="26"/>
        </w:rPr>
        <w:t>产品需求文档（MVP）</w:t>
      </w:r>
    </w:p>
    <w:p>
      <w:pPr>
        <w:keepNext w:val="0"/>
        <w:keepLines w:val="0"/>
        <w:spacing w:before="0" w:after="0" w:line="33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4748B"/>
          <w:sz w:val="20"/>
        </w:rPr>
        <w:t>版本：v1.0</w:t>
        <w:br/>
        <w:t>文档状态：可进入产品 / 设计 / 技术评审</w:t>
        <w:br/>
        <w:t>日期：2026-07-11</w:t>
      </w:r>
    </w:p>
    <w:p>
      <w:pPr>
        <w:keepNext w:val="0"/>
        <w:keepLines w:val="0"/>
        <w:spacing w:before="0" w:after="80" w:line="336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0"/>
        </w:rPr>
        <w:t>一句话定义</w:t>
      </w:r>
    </w:p>
    <w:p>
      <w:pPr>
        <w:keepNext w:val="0"/>
        <w:keepLines w:val="0"/>
        <w:spacing w:before="0" w:after="0" w:line="336" w:lineRule="auto"/>
        <w:ind w:left="792" w:right="792"/>
        <w:jc w:val="center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25"/>
        </w:rPr>
        <w:t>用 32 道真实交易情境题，识别用户依靠什么做决策、愿意等多久、如何承担风险，以及怎样执行交易。</w:t>
      </w:r>
    </w:p>
    <w:p>
      <w:r>
        <w:br w:type="page"/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产品名称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TT16 / TradeType 16 / 交易人格十六型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版本范围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MVP v1.0；移动端 H5 优先，兼容桌面端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目标读者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产品、交互、视觉、前端、后端、测试、内容运营、法务/合规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核心假设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用户愿意通过“人格结果 + 行为盲点 + 可分享卡片”认识并传播自己的交易风格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MVP 边界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匿名免费；32 道题；不接券商账户；不提供股票推荐或收益预测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待定项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品牌视觉、插画风格、商业化模式、登录体系、交易流水分析能力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版本记录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129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56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v1.0</w:t>
            </w:r>
          </w:p>
        </w:tc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2026-07-11</w:t>
            </w:r>
          </w:p>
        </w:tc>
        <w:tc>
          <w:tcPr>
            <w:tcW w:type="dxa" w:w="12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评审稿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定义 MVP 范围、人格模型、评分规则、功能需求、验收标准与首版题库。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24"/>
            <w:shd w:fill="47556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主体章节</w:t>
            </w:r>
          </w:p>
        </w:tc>
        <w:tc>
          <w:tcPr>
            <w:tcW w:type="dxa" w:w="4824"/>
            <w:shd w:fill="475569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475569"/>
              <w:left w:val="single" w:sz="4" w:color="475569"/>
              <w:bottom w:val="single" w:sz="4" w:color="475569"/>
              <w:right w:val="single" w:sz="4" w:color="475569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后续章节与附录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1. 产品摘要与关键决策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9. 结果内容系统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2. 背景、定位与产品原则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10. 数据、埋点与实验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3. 用户与核心场景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11. 非功能、隐私与合规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4. 目标、范围与成功指标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12. 发布计划与验收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5. TT16 人格模型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13. 风险与待决策项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6. 信息架构与用户流程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附录 A：16 型人格内容矩阵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7. 详细功能需求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附录 B：MVP 32 道题库草案</w:t>
            </w:r>
          </w:p>
        </w:tc>
      </w:tr>
      <w:tr>
        <w:trPr>
          <w:cantSplit/>
        </w:trPr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8. 题库与评分引擎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•  附录 C：事件与数据字段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1. 产品摘要与关键决策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FF6FF"/>
            <w:tcBorders>
              <w:top w:val="nil"/>
              <w:left w:val="single" w:sz="18" w:color="2563EB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1"/>
              </w:rPr>
              <w:t>产品核心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TT16 不是“测你能不能赚钱”，而是测“你通常依靠什么形成观点、选择多长兑现周期、如何表达风险、怎样执行计划”，并提示在压力下最容易出现的行为偏差。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1.1 MVP 关键决策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决策项</w:t>
            </w:r>
          </w:p>
        </w:tc>
        <w:tc>
          <w:tcPr>
            <w:tcW w:type="dxa" w:w="32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MVP 选择</w:t>
            </w:r>
          </w:p>
        </w:tc>
        <w:tc>
          <w:tcPr>
            <w:tcW w:type="dxa" w:w="48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载体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移动端优先的响应式 H5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最低传播门槛，适配微信、社区与二维码入口。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测试长度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32 道基础题，必要时最多 2 道边界决胜题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兼顾完成率与四维度稳定性；决胜题仅在 48%–52% 边界触发。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核心输出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4 字母类型 + 16 型人格名 + 4 维度百分比 + 6 个风险徽章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既满足分享，也提供可执行的行为洞察。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账号体系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默认匿名，不强制登录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减少首测流失；登录与历史对比放入 P1。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商业化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MVP 不付费、不售卖荐股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先验证完成率、结果认同与分享传播。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数据连接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MVP 不导入券商流水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规避隐私和合规复杂度；P2 再做“自评 vs 真实行为”。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品牌关系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不宣称与 MBTI 官方、Myers-Briggs 或任何券商存在关联</w:t>
            </w:r>
          </w:p>
        </w:tc>
        <w:tc>
          <w:tcPr>
            <w:tcW w:type="dxa" w:w="48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降低商标、误导宣传和金融营销风险。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1.2 一页式产品概览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12"/>
            <w:shd w:fill="EFF6FF"/>
            <w:tcMar>
              <w:top w:w="130" w:type="dxa"/>
              <w:start w:w="90" w:type="dxa"/>
              <w:bottom w:w="13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34"/>
              </w:rPr>
              <w:t>32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基础题数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64748B"/>
                <w:sz w:val="15"/>
              </w:rPr>
              <w:t>24 核心 + 6 偏差 + 2 一致性</w:t>
            </w:r>
          </w:p>
        </w:tc>
        <w:tc>
          <w:tcPr>
            <w:tcW w:type="dxa" w:w="2412"/>
            <w:shd w:fill="ECFEFF"/>
            <w:tcMar>
              <w:top w:w="130" w:type="dxa"/>
              <w:start w:w="90" w:type="dxa"/>
              <w:bottom w:w="13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891B2"/>
                <w:sz w:val="34"/>
              </w:rPr>
              <w:t>4 × 2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核心维度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64748B"/>
                <w:sz w:val="15"/>
              </w:rPr>
              <w:t>组合为 16 种类型</w:t>
            </w:r>
          </w:p>
        </w:tc>
        <w:tc>
          <w:tcPr>
            <w:tcW w:type="dxa" w:w="2412"/>
            <w:shd w:fill="EFF6FF"/>
            <w:tcMar>
              <w:top w:w="130" w:type="dxa"/>
              <w:start w:w="90" w:type="dxa"/>
              <w:bottom w:w="13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34"/>
              </w:rPr>
              <w:t>5–7 分钟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目标完成时长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64748B"/>
                <w:sz w:val="15"/>
              </w:rPr>
              <w:t>中位数，首发后校准</w:t>
            </w:r>
          </w:p>
        </w:tc>
        <w:tc>
          <w:tcPr>
            <w:tcW w:type="dxa" w:w="2412"/>
            <w:shd w:fill="ECFEFF"/>
            <w:tcMar>
              <w:top w:w="130" w:type="dxa"/>
              <w:start w:w="90" w:type="dxa"/>
              <w:bottom w:w="13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891B2"/>
                <w:sz w:val="34"/>
              </w:rPr>
              <w:t>16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人格结果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64748B"/>
                <w:sz w:val="15"/>
              </w:rPr>
              <w:t>无高低优劣排序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38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用户得到什么</w:t>
            </w:r>
          </w:p>
        </w:tc>
        <w:tc>
          <w:tcPr>
            <w:tcW w:type="dxa" w:w="41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产品得到什么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人格测试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一个清晰、有记忆点的交易人格身份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低门槛获客与结构化偏好数据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结果报告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优势、盲点、压力模式和交易守则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结果认同、停留与二次访问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分享卡片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可截图、可讨论、可对比的社交内容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自然传播和裂变回流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风险徽章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对 FOMO、死扛、冲动等偏差的提醒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从娱乐测试升级为行为改进工具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后续扩展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历史对比、交易流水验证、团队/社区画像</w:t>
            </w:r>
          </w:p>
        </w:tc>
        <w:tc>
          <w:tcPr>
            <w:tcW w:type="dxa" w:w="41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长期留存、付费或 B 端合作可能性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2. 背景、定位与产品原则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2.1 用户问题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很多投资者能描述“我看基本面”或“我做短线”，但无法系统解释自己的决策、持有、仓位和执行方式。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传统风险测评通常只输出“保守 / 稳健 / 进取”，信息量不足，也缺少社交传播性。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娱乐型股民测试容易获得分享，却常停留在“股神 / 韭菜 / 梭哈”等标签，无法支持真实复盘。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用户自认为的风格与真实交易行为可能不一致；TT16 先建立自评基线，未来再通过交易数据验证。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2.2 产品定位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CFEFF"/>
            <w:tcBorders>
              <w:top w:val="nil"/>
              <w:left w:val="single" w:sz="18" w:color="0891B2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891B2"/>
                <w:sz w:val="21"/>
              </w:rPr>
              <w:t>定位语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面向股票投资者的交易行为人格测试：前端好玩、易懂、可分享，后端中立、可解释、可复盘。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9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TT16 的选择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品类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人格测试 × 行为金融 × 投资者教育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目标用户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有股票交易经历或正在学习股票投资的中文用户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核心价值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帮助用户识别稳定倾向、压力下偏差，以及适合自己的执行约束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差异化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不是只测风险承受能力；不是段子标签；未来可与真实交易行为对照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品牌语气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聪明但不说教；有梗但不羞辱；专业但不伪装成诊断或荐股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2.3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原则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产品要求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中立不排名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任何类型都有优势、适用环境与失效方式，不设置“最强人格”。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行为优先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尽量询问过去 12 个月真实行为，而不是用户理想中的自我描述。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可解释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每个字母、分数、徽章都能回溯到问题和规则，结果不可由黑箱随意生成。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低摩擦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不强制注册；断网可恢复；题目一屏一题；结果先展示再引导分享。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不越界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不预测收益、不推荐股票、不鼓励杠杆、不把人格当成投资适当性结论。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可迭代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题库、权重、结果文案和插画均版本化，支持 A/B 与心理测量验证。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2.4 非目标（MVP 不做）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不判断用户是否“会赚钱”，不输出预测收益率、胜率或可买标的。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不承担证券投资适当性评估、风险等级认证或投资顾问职责。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不接入实时行情、模拟盘、交易下单或券商账户。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不做公开排行榜，不通过“韭菜”等贬损词刺激分享。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不追求临床心理学或人格诊断效力；MVP 定位为行为风格自评工具。</w:t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3. 用户与核心场景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3.1 目标用户分层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用户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典型特征</w:t>
            </w:r>
          </w:p>
        </w:tc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核心动机</w:t>
            </w:r>
          </w:p>
        </w:tc>
        <w:tc>
          <w:tcPr>
            <w:tcW w:type="dxa" w:w="30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产品机会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新手探索者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入市 0–2 年；知识碎片化；容易被行情影响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想知道自己适合长期还是短线，避免明显错误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低门槛解释四维度，给出简单交易守则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社区表达者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活跃于投资社区、群聊或内容平台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想获得有趣身份标签，与朋友比较讨论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人格卡、阵营感、分享文案与结果链接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自我改进者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有交易记录，常复盘但缺少结构化框架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想找到重复犯错的行为模式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风险徽章、压力模式、可执行清单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内容/投教运营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券商、财经媒体、投资社群运营者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需要互动活动、用户分层和投教内容入口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可配置活动、匿名聚合数据与 B 端报告（后续）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3.2 Jobs to Be Done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当我刚开始投资或经常改变方法时，我想用一个清晰框架认识自己的稳定偏好，从而减少盲目模仿别人。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当我经历大涨大跌后，我想知道自己在压力下为何会追高、死扛或复仇交易，从而建立约束。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当我和朋友讨论投资风格时，我想用一张有辨识度的结果卡表达自己，而不是长篇解释。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当我重新测试时，我想看人格是稳定、成熟了，还是只是最近行情改变了我的回答。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3.3 关键使用场景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31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触发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自然分享进入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看到朋友的 TT16 结果卡或链接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理解测试价值并开始答题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首次测试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对自己的交易风格好奇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完成有效问卷并查看完整结果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结果传播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结果有认同感或反差感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生成卡片并分享 / 保存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结果复盘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近期发生亏损、追高或交易失控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找到对应风险徽章和一条可执行守则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再次测试（P1）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三个月后或经历市场风格变化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比较维度变化和稳定项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4. 目标、范围与成功指标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4.1 产品目标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367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43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衡量方式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G1：完成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用户愿意开始并完成测试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开始率、有效完成率、中位完成时长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G2：认同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结果让用户感到“像我，而且有用”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结果认同反馈、报告展开率、收藏/截图意向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G3：传播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结果具备自然分享价值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分享点击率、分享成功率、分享回流完成数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G4：可信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评分稳定、可解释、无明显误导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一致性、重测稳定性、投诉率、低置信结果占比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G5：可迭代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题目与内容可版本化优化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配置发布时间、版本追踪、实验归因完整度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4.2 北极星与首发假设指标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CFDF5"/>
            <w:tcBorders>
              <w:top w:val="nil"/>
              <w:left w:val="single" w:sz="18" w:color="059669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59669"/>
                <w:sz w:val="21"/>
              </w:rPr>
              <w:t>北极星指标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有效完成并查看结果的测评数（Valid Result Views）：完成必答项、数据质量为中或高、且结果页停留 ≥ 10 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首发假设目标</w:t>
            </w:r>
          </w:p>
        </w:tc>
        <w:tc>
          <w:tcPr>
            <w:tcW w:type="dxa" w:w="56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口径 / 备注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落地页开始率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35%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点击“开始测试” / 落地页 UV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有效完成率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65%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有效提交 / 开始测评会话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中位完成时长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≤ 7 分钟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从首题展示至提交；不含后台挂起 &gt; 10 分钟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结果页深度阅读率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50%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至少展开 2 个深度模块 / 结果页 UV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分享点击率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15%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点击生成或分享卡片 / 结果页 UV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分享回流完成率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20%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分享渠道新会话完成 / 分享回流新会话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技术错误率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&lt; 0.5%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导致无法继续或无法出结果的会话占比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80" w:line="312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说明：以上为没有历史数据时的产品假设目标。首批 1,000 个有效样本后，应按渠道、设备与用户经验分层重新校准。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4.3 版本范围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层级</w:t>
            </w:r>
          </w:p>
        </w:tc>
        <w:tc>
          <w:tcPr>
            <w:tcW w:type="dxa" w:w="79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P0 / MVP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落地页、匿名会话、32 道题、边界决胜题、评分引擎、16 型结果、6 个风险徽章、分享卡、埋点、免责声明、基础内容配置。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P1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登录与历史、结果对比、测试提醒、可编辑交易守则、运营 CMS、题目自适应、更多语言。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P2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脱敏交易流水导入、自评与真实行为偏差、AI 复盘摘要、社区匹配、机构版聚合洞察。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5. TT16 人格模型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5.1 四个核心维度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1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左端</w:t>
            </w:r>
          </w:p>
        </w:tc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右端</w:t>
            </w:r>
          </w:p>
        </w:tc>
        <w:tc>
          <w:tcPr>
            <w:tcW w:type="dxa" w:w="403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测量定义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你主要看什么？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R · Research</w:t>
              <w:br/>
              <w:t>研究驱动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S · Signal</w:t>
              <w:br/>
              <w:t>信号驱动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形成观点时更依赖企业、财务和估值，还是价格、资金、趋势和市场反馈。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你愿意等多久？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H · Hold</w:t>
              <w:br/>
              <w:t>持有型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T · Trade</w:t>
              <w:br/>
              <w:t>交易型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更偏向长期等待价值兑现，还是在较短周期持续捕捉机会。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你通常下多大？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D · Defensive</w:t>
              <w:br/>
              <w:t>防守型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A · Aggressive</w:t>
              <w:br/>
              <w:t>进攻型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如何使用集中度、波动容忍与风险预算表达确信度。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你怎么执行？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P · Planned</w:t>
              <w:br/>
              <w:t>计划型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F · Flexible</w:t>
              <w:br/>
              <w:t>灵活型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更依赖预设规则与清单，还是根据新信息和盘面临场调整。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FF6FF"/>
            <w:tcBorders>
              <w:top w:val="nil"/>
              <w:left w:val="single" w:sz="18" w:color="2563EB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1"/>
              </w:rPr>
              <w:t>命名规则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类型代码按照“信息来源—兑现周期—风险表达—执行方式”的顺序排列。例如 RHAP = 研究驱动、持有型、进攻型、计划型。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5.2 六个风险徽章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徽章</w:t>
            </w:r>
          </w:p>
        </w:tc>
        <w:tc>
          <w:tcPr>
            <w:tcW w:type="dxa" w:w="460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要识别的问题</w:t>
            </w:r>
          </w:p>
        </w:tc>
        <w:tc>
          <w:tcPr>
            <w:tcW w:type="dxa" w:w="309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结果表达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从众 / FOMO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是否容易因暴涨、热搜、群聊和他人收益而改变计划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低 / 中 / 高敏感；提供“延迟决策”守则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损失厌恶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是否倾向过早卖出盈利仓、长期等待亏损仓回本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低 / 中 / 高；提示论点失效与沉没成本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信心校准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连续盈利后，仓位增长是否快于证据质量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稳健 / 偏高 / 过热；提示固定风险预算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交易冲动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亏损后是否急于追回、频繁反向或加速交易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稳定 / 波动 / 高风险；提示冷静期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回撤镇定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组合大幅下跌时能否先复核再行动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冷静 / 紧张 / 易失控；提示预案与仓位匹配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复盘一致性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是否记录买卖理由，并区分结果好坏与过程好坏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系统 / 偶尔 / 薄弱；提示交易日志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00" w:line="312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徽章不参与 16 型代码生成，避免把“偏差”误当成稳定人格。MVP 中徽章属于探索性提示，不作心理诊断。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5.3 16 型人格总览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代码</w:t>
            </w:r>
          </w:p>
        </w:tc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人格名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核心优势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主要盲点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RHDP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复利园丁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深研、长持、分散、按规则复利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反应过慢；把稳定误当不必复核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RHDF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价值守望者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重视价值回归，错杀时灵活加仓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价值陷阱；越跌越合理化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RHAP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高确信舵手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深研少数公司，集中但有计划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确认偏误；单一持仓风险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RHAF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信仰船长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长期信念强，能穿越大波动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爱上股票；失效后仍找借口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RTDP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财报工程师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围绕财报、估值和催化做规则交易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过度建模；忽略成本与预期差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RTDF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事件雷达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对公告与政策变化反应快、仓位灵活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信息焦虑；噪音过度交易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RTAP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预期差狙击手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深研后集中捕捉市场错价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事件二元风险；下注过重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RTAF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错杀猎手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极端定价中快速逆向出手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过早抄底；不断接下落的刀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SHDP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趋势配置师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分散跟随中长期趋势并规则换仓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反转退出滞后；震荡磨损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SHDF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轮动领航员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根据景气、风格和资金偏好轮动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换仓过快；风格漂移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SHAP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赛道骑士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集中持有最强趋势和核心赛道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拥挤交易；高位接力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SHAF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主题追光者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擅长捕捉主题、叙事和情绪扩散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故事大于数据；忽视兑现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STDP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系统波段手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用技术信号和固定风险做波段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震荡反复止损；成本磨损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STDF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盘面游侠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仓位轻、反馈快、临场适应强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过度交易；难以复盘复制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STAP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突破狙击手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集中参与突破和动量，执行止损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假突破；连续止损后失控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STAF</w:t>
            </w:r>
          </w:p>
        </w:tc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火箭驾驶员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速度快、集中、依赖盘面反应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FOMO、复仇交易与杠杆风险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5.4 类型解释规则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使用“倾向”“更可能”“在压力下可能”等概率性语言，不使用“一定”“天生”“注定”。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类型只描述常见决策偏好，不等于能力、收益、道德、智力或风险承受能力。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结果必须同时展示百分比；51% R 与 95% R 的解释强度不同。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任一维度落在 48%–52% 时标注“边界型”，并允许用户查看两端差异。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结果页不显示类型排名、收益排名或“最适合购买的股票”。</w:t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6. 信息架构与用户流程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6.1 MVP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一级页面</w:t>
            </w:r>
          </w:p>
        </w:tc>
        <w:tc>
          <w:tcPr>
            <w:tcW w:type="dxa" w:w="7703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二级模块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落地页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品牌主视觉、价值说明、预计时长、免责声明摘要、开始按钮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答题页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题目卡、五档选项、不适用、进度、返回、保存状态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提交与计算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答案校验、边界决胜、结果计算、错误重试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结果页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人格头图、四维百分比、优势、盲点、风险徽章、压力模式、交易守则、分享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分享卡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人格代码、名称、插画、四维条、短文案、二维码 / 短链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说明页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模型说明、隐私政策、免责声明、版本号、反馈入口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6.2 首次测试主流程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01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进入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看懂价值与时长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02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开始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创建匿名会话</w:t>
            </w:r>
          </w:p>
        </w:tc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03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答题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32 题，可返回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04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校验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最多 2 道决胜题</w:t>
            </w:r>
          </w:p>
        </w:tc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05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出结果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先身份，后洞察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06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分享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卡片或结果链接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6.3 状态与恢复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75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系统行为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首次进入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展示落地页；不请求登录、手机号或券商授权。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答题中刷新 / 关闭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本地保存当前题号与答案；7 天内恢复，提示“继续上次测试 / 重新开始”。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离线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允许继续浏览已加载题目并保存本地；恢复网络后提交。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重复提交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使用 session_id + assessment_version 保证幂等，返回同一结果。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结果链接打开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使用不可枚举 token；默认只读，不暴露原始答案。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版本升级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旧会话按旧版本计算；新测试使用新版本，历史结果保留版本号。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7. 详细功能需求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7.1 需求总表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9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9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优先级</w:t>
            </w:r>
          </w:p>
        </w:tc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模块</w:t>
            </w:r>
          </w:p>
        </w:tc>
        <w:tc>
          <w:tcPr>
            <w:tcW w:type="dxa" w:w="61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需求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FR-01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落地页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解释产品价值、时长、适用人群与非投资建议声明；单主按钮开始。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FR-02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匿名会话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点击开始即创建匿名 session_id，不要求登录。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FR-03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题目配置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从版本化配置读取题目、选项、权重和文案，前端不写死。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FR-04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一屏一题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支持五档答案、返回修改、自动前进、键盘与触控。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FR-05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不适用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情境题可选“未经历过 / 不适用”，不计分并影响覆盖度。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FR-06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进度与恢复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显示题号和进度；本地保存；跨刷新恢复。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FR-07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答题质量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记录耗时、连续同选项、缺失比例；生成数据质量等级。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FR-08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边界决胜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核心维度在 48%–52% 时触发决胜题，最多 2 题。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FR-09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评分引擎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输出四维分数、类型代码、徽章、可信度、类型稳定度。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FR-10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结果首屏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展示代码、名称、标语、插画、四维条和分享按钮。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FR-11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完整报告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展示优势、盲点、适用环境、压力模式、徽章与守则。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FR-12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分享卡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生成适配 9:16 与 1:1 的图片；文本不溢出；含回流入口。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FR-13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免责声明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落地页摘要 + 结果页完整说明 + 隐私说明入口。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FR-14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埋点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覆盖曝光、答题、放弃、提交、结果阅读与分享漏斗。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FR-15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P0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反馈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结果页提供“像我 / 一般 / 不像我”及可选文字反馈。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FR-16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登录与历史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用户可绑定账号，查看多次测试与维度变化。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FR-17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P1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运营 CMS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发布题库/文案版本，预览 16 类结果和分享卡。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FR-18</w:t>
            </w:r>
          </w:p>
        </w:tc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P2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交易行为验证</w:t>
            </w:r>
          </w:p>
        </w:tc>
        <w:tc>
          <w:tcPr>
            <w:tcW w:type="dxa" w:w="61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导入脱敏流水，计算实际持有期、换手与仓位特征。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7.2 落地页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区域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内容 / 交互</w:t>
            </w:r>
          </w:p>
        </w:tc>
        <w:tc>
          <w:tcPr>
            <w:tcW w:type="dxa" w:w="331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首屏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TT16 品牌、主标题“你是哪一种交易人格？”、副标题、开始按钮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375×667 屏幕内可见完整主标题、核心价值和 CTA。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信任说明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32 道题、约 5–7 分钟、不需要注册、非投资建议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信息真实；不出现“科学认证”“精准预测收益”。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模型预览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四维度简图 + 2–4 张人格卡预览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不提前透露题目映射，避免用户定向答题。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页尾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隐私、免责声明、版本、反馈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链接可访问，文本字号不低于 12 px。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7.3 答题页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顶部：返回、题号（如 7 / 32）、细进度条；不显示当前测量维度。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中部：一个情境问题；A / B 两端描述完整、价值中立，不把一端写成明显正确答案。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底部：五档选择——更接近 A、略接近 A、视情况、略接近 B、更接近 B；需要时显示“不适用”。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选择后 250–400 ms 自动进入下一题；用户可返回修改，修改后重新计算。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每 8 题显示轻量进度反馈，不使用“你已经更像某类型”等诱导文案。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连续 5 题答题用时 &lt; 800 ms 时，提交前提示“部分题目回答较快，可回看或直接提交”，不强制拦截。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7.4 提交与结果计算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78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完整性校验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每个核心维度至少 4 个有效答案；总有效答案至少 26 个。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边界判断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任一维度 48%–52% 且尚有决胜题时触发，按离 50% 最近排序，最多 2 题。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计算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服务端或可信边缘函数完成；前端可预览但以服务端结果为准。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幂等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同一 session 的首次有效提交固化结果；修改答案需创建 revision。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异常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网络失败保留本地答案并提供重试；不得清空用户进度。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等待态</w:t>
            </w:r>
          </w:p>
        </w:tc>
        <w:tc>
          <w:tcPr>
            <w:tcW w:type="dxa" w:w="78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正常计算 &lt; 1 秒；超过 1 秒显示“正在生成你的交易人格”，不伪造实时进度。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7.5 结果页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层级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必须展示</w:t>
            </w:r>
          </w:p>
        </w:tc>
        <w:tc>
          <w:tcPr>
            <w:tcW w:type="dxa" w:w="33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交互要求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首屏身份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代码、名称、标语、插画、四维百分比、分享按钮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无需滚动即可看见完整身份；类型代码可复制。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核心解释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“你如何形成观点 / 等待兑现 / 使用仓位 / 执行”四段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每段 60–100 字；支持折叠。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优势与盲点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各 3 条，成对呈现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任何优势必须附带其过度使用时的风险。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市场环境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更顺手的环境、容易失效的环境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仅描述环境，不推荐板块或股票。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压力模式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连续亏损、暴涨行情或大回撤时的典型变化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使用“可能”措辞；给出一个暂停信号。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风险徽章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最多突出 3 个最高相关徽章，其余可展开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每个徽章给出解释、触发、1 条守则。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行动清单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5 条交易守则，可勾选 / 复制（P1 可编辑）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守则具体、可观察，不写“保持理性”这类空话。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反馈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像我 / 一般 / 不像我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提交后可选原因，不影响结果。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底部说明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非投资建议、重新测试、模型说明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重新测试需二次确认，避免误触清空。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7.6 分享卡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规格</w:t>
            </w:r>
          </w:p>
        </w:tc>
        <w:tc>
          <w:tcPr>
            <w:tcW w:type="dxa" w:w="79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尺寸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P0 至少支持 1080×1920（故事 / 朋友圈）和 1080×1080（方形）。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内容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TT16、代码、人格名、插画、1 句标语、四维短条、二维码或短链。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隐私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不展示原始答案、风险徽章详细分数、设备信息或账号信息。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可读性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最小正文字号按 1080 px 画布不低于 32 px；文本最长场景完成溢出测试。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渠道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浏览器下载 / 保存图片；微信内提供长按保存提示；Web Share API 可用时调用。</w:t>
            </w:r>
          </w:p>
        </w:tc>
      </w:tr>
      <w:tr>
        <w:trPr>
          <w:cantSplit/>
        </w:trPr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归因</w:t>
            </w:r>
          </w:p>
        </w:tc>
        <w:tc>
          <w:tcPr>
            <w:tcW w:type="dxa" w:w="79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分享链接包含匿名 campaign / share_token，可归因回流，不可枚举用户历史。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7.7 反馈与纠错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结果认同：像我 / 一般 / 不像我。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不像我的原因：题目不适用、选项难选、类型名称不合适、解释太泛、近期行情影响、其他。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用户可举报不当或误导内容；反馈记录 assessment_version 与 result_type。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不允许用户手动选择想要的人格覆盖测评结果，但可重测并比较。</w:t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8. 题库与评分引擎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8.1 题库结构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题型</w:t>
            </w:r>
          </w:p>
        </w:tc>
        <w:tc>
          <w:tcPr>
            <w:tcW w:type="dxa" w:w="11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数量</w:t>
            </w:r>
          </w:p>
        </w:tc>
        <w:tc>
          <w:tcPr>
            <w:tcW w:type="dxa" w:w="63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核心维度题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24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每个维度 6 题，决定 R/S、H/T、D/A、P/F。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行为偏差题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估计六个风险徽章；部分核心题可交叉提供证据。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一致性题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与前题反向或平行表达，用于数据质量，不直接决定类型。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边界决胜题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0–2</w:t>
            </w:r>
          </w:p>
        </w:tc>
        <w:tc>
          <w:tcPr>
            <w:tcW w:type="dxa" w:w="63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8"/>
              </w:rPr>
              <w:t>仅在 48%–52% 边界触发，不计入基础题数。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8.2 单题计分</w:t>
      </w:r>
    </w:p>
    <w:p>
      <w:pPr>
        <w:keepNext w:val="0"/>
        <w:keepLines w:val="0"/>
        <w:spacing w:before="0" w:after="120" w:line="312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五档选择统一映射为 -2、-1、0、+1、+2。题目配置中定义 A 端与 B 端分别对应哪个字母，反向题通过 direction = -1 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F172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answer_value ∈ {-2, -1, 0, +1, +2}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item_contribution = answer_value × direction × item_weight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“未经历过 / 不适用” = null，不计分，但降低 coverage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核心题默认 item_weight = 1.0；决胜题默认 item_weight = 1.25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8.3 维度标准化与类型生成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F172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raw_d = Σ(item_contribution) / Σ(2 × item_weight)       # 范围 [-1, +1]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right_percent = round((raw_d + 1) × 50)                # 范围 [0, 100]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left_percent  = 100 - right_percent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letter = left_letter if left_percent ≥ right_percent else right_letter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type_code = concat(letter_RS, letter_HT, letter_DA, letter_PF)</w:t>
            </w:r>
          </w:p>
        </w:tc>
      </w:tr>
    </w:tbl>
    <w:p>
      <w:pPr>
        <w:spacing w:after="0"/>
      </w:pPr>
    </w:p>
    <w:p>
      <w:pPr>
        <w:keepNext w:val="0"/>
        <w:keepLines w:val="0"/>
        <w:spacing w:before="0" w:after="120" w:line="312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显示规则：百分比按整数展示；计算保留至少 4 位小数。若恰好 50/50，使用该维度的高区分度锚点题作为确定性决胜；仍相同则沿用固定左端字母并标注“边界型”，以保证结果可复现。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8.4 边界、可信度与稳定度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45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计算建议</w:t>
            </w:r>
          </w:p>
        </w:tc>
        <w:tc>
          <w:tcPr>
            <w:tcW w:type="dxa" w:w="33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对用户表达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维度边界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任一端 48%–52%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“这一维度较平衡，环境变化可能让你呈现另一侧。”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覆盖度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有效答案数 / 可计分题数；每维至少 4 题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低覆盖时提示补答或输出低可信结果。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一致性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两组平行/反向题差异 + 同类题逻辑冲突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高 / 中 / 低；不公开复杂公式。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响应质量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极短用时、全选同一档、频繁不适用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仅作为质量信号，不因“答得快”直接判无效。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类型稳定度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四个维度离 50% 的最小距离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稳定 / 有一项边界 / 多项边界。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8.5 风险徽章评分</w:t>
      </w:r>
    </w:p>
    <w:p>
      <w:pPr>
        <w:keepNext w:val="0"/>
        <w:keepLines w:val="0"/>
        <w:spacing w:before="0" w:after="120" w:line="312" w:lineRule="auto"/>
        <w:ind w:left="0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每个徽章由 1 道专门题 + 2–4 道交叉题组成，避免单题定性。每题配置 risk_weights，归一化到 0–100。阈值首版暂定 0–39、40–69、70–100 三档，需在预测试后校准。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徽章</w:t>
            </w:r>
          </w:p>
        </w:tc>
        <w:tc>
          <w:tcPr>
            <w:tcW w:type="dxa" w:w="11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专门题</w:t>
            </w:r>
          </w:p>
        </w:tc>
        <w:tc>
          <w:tcPr>
            <w:tcW w:type="dxa" w:w="65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交叉证据示例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从众 / FOMO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Q25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S、T、A、F 相关题中对追涨与即时反应的选择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损失厌恶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Q26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卖出条件、论点失效、等待回本倾向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信心校准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Q27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集中度、连续盈利后加仓、杠杆倾向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交易冲动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Q28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止损后重入、临场反向、交易频率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回撤镇定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Q29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回撤处理、仓位预算、复核流程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复盘一致性</w:t>
            </w:r>
          </w:p>
        </w:tc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Q30</w:t>
            </w:r>
          </w:p>
        </w:tc>
        <w:tc>
          <w:tcPr>
            <w:tcW w:type="dxa" w:w="65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日志、检查清单、提前写退出条件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8.6 题目质量要求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A/B 两端都必须合理，不出现“理性研究”对“盲目跟风”这种价值倾斜。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避免依赖用户没经历过的期权、期货、做空等情境；必要时提供“不适用”。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避免直接问“你是否冲动 / 自信 / 有纪律”，优先使用最近行为和具体场景。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同一维度至少包含正向、反向、不同市场状态和不同决策阶段的题目。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文案阅读难度面向普通投资者；单题正文建议 ≤ 90 个汉字。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不使用收益结果来暗示某答案正确，例如“这样更容易赚钱”。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8.7 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38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样本 / 方法</w:t>
            </w:r>
          </w:p>
        </w:tc>
        <w:tc>
          <w:tcPr>
            <w:tcW w:type="dxa" w:w="39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通过标准（建议）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认知访谈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12–20 名不同经验用户逐题思考 aloud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能正确理解 A/B；无明显社会期许答案；不适用率可解释。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小规模预测试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≥ 200 个有效样本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各选项有分布；单题缺失 &lt; 10%；无严重天花板/地板效应。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量表分析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按维度检查内部一致性、题目-总分相关与因子结构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删除或重写低区分度、强交叉载荷题；阈值由数据决定。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重测稳定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2–4 周后邀请复测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类型与连续分数在合理范围稳定；边界用户允许变化。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结果效度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用户自评认同 + 可选交易行为指标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结果不只“像”，还能解释部分真实持有期、换手与集中度。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9. 结果内容系统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9.1 每个人格的内容模板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字段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字数 / 数量</w:t>
            </w:r>
          </w:p>
        </w:tc>
        <w:tc>
          <w:tcPr>
            <w:tcW w:type="dxa" w:w="56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人格名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4–6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有画面感，不羞辱，不承诺收益。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一句标语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16–28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准确说明主要优势与方法。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核心画像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120–180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覆盖四维度，不复述字母定义。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优势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3 条，每条 25–50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描述可观察行为与适用条件。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盲点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3 条，每条 25–50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与优势镜像，避免道德评判。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顺手环境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2–3 条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说明何种市场结构更利于发挥。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失效环境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2–3 条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说明何时应降低确信或仓位。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压力模式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80–140 字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连续亏损、暴涨或回撤时可能如何偏移。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交易守则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5 条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具体、可检查、可复制。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分享文案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1 主 2 备</w:t>
            </w:r>
          </w:p>
        </w:tc>
        <w:tc>
          <w:tcPr>
            <w:tcW w:type="dxa" w:w="56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不过度夸张；含邀请朋友测试的自然钩子。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9.2 示例结果：RHAP 高确信舵手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FF6FF"/>
            <w:tcBorders>
              <w:top w:val="nil"/>
              <w:left w:val="single" w:sz="18" w:color="2563EB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1"/>
              </w:rPr>
              <w:t>我的 TT16：RHAP · 高确信舵手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你愿意花时间理解少数真正看懂的公司，并用集中仓位表达判断；你的关键不是“研究更多”，而是提前定义什么证据会让自己承认判断失效。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77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示例内容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四维度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R 82% · H 71% · A 76% · P 68%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优势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能把复杂信息形成独立判断；愿意等待长期逻辑；仓位与确信度匹配；执行前有计划。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盲点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容易只寻找支持原观点的信息；集中仓位放大单点错误；计划可能写得清楚却执行得宽松。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压力模式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连续下跌时，可能从“按证据持有”滑向“用信仰解释一切”，不断放宽论点失效条件。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高相关徽章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信心校准、损失厌恶、复盘一致性。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首条守则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建仓前写下 3 个可验证的看多证据和 2 个必须减仓的失效证据。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9.3 文案禁区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禁止：“你天生适合炒短线”“该人格平均年化 30%”“你应该买科技股”。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禁止：“韭菜”“赌徒”等贬损性官方人格名；用户生成内容另行治理。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禁止把进攻型等同“高风险承受能力”，或把防守型等同“低收益”。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禁止暗示测试已通过官方 MBTI、心理学会、证券监管或券商认证。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推荐：“你更倾向……”“在……环境下更容易发挥”“当……发生时，建议先……”。</w:t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10. 数据、埋点与实验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10.1 核心漏斗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A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曝光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landing_view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B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开始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start_click</w:t>
            </w:r>
          </w:p>
        </w:tc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C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答题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q1 → q32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D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提交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assessment_submit</w:t>
            </w:r>
          </w:p>
        </w:tc>
        <w:tc>
          <w:tcPr>
            <w:tcW w:type="dxa" w:w="1608"/>
            <w:shd w:fill="EFF6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E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结果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result_view</w:t>
            </w:r>
          </w:p>
        </w:tc>
        <w:tc>
          <w:tcPr>
            <w:tcW w:type="dxa" w:w="1608"/>
            <w:shd w:fill="ECFEFF"/>
            <w:tcMar>
              <w:top w:w="100" w:type="dxa"/>
              <w:start w:w="85" w:type="dxa"/>
              <w:bottom w:w="100" w:type="dxa"/>
              <w:end w:w="85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563EB"/>
                <w:sz w:val="24"/>
              </w:rPr>
              <w:t>F</w:t>
            </w:r>
          </w:p>
          <w:p>
            <w:pPr>
              <w:keepNext w:val="0"/>
              <w:keepLines w:val="0"/>
              <w:spacing w:before="0" w:after="4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0F172A"/>
                <w:sz w:val="18"/>
              </w:rPr>
              <w:t>传播</w:t>
            </w:r>
          </w:p>
          <w:p>
            <w:pPr>
              <w:keepNext w:val="0"/>
              <w:keepLines w:val="0"/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15"/>
              </w:rPr>
              <w:t>share_success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10.2 关键事件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事件</w:t>
            </w:r>
          </w:p>
        </w:tc>
        <w:tc>
          <w:tcPr>
            <w:tcW w:type="dxa" w:w="367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触发时机</w:t>
            </w:r>
          </w:p>
        </w:tc>
        <w:tc>
          <w:tcPr>
            <w:tcW w:type="dxa" w:w="403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核心属性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landing_view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落地页可见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source, campaign_id, device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start_click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点击开始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source, assessment_version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session_created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匿名会话创建成功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session_id, version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question_view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题目进入可视区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question_id, index, type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answer_select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选择答案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question_id, value, time_ms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answer_na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选择不适用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question_id, time_ms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question_back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返回上一题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from_index, to_index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resume_prompt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检测到未完成会话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elapsed_hours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resume_choice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继续或重开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choice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quality_warning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快速回答提示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fast_item_count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tiebreak_view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展示决胜题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dimension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assessment_submit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提交答案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valid_count, duration_ms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result_view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结果首屏可见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type_code, confidence, stability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result_section_view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深度模块可见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section_name, type_code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result_feedback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结果认同反馈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rating, reason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share_click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点击分享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format, channel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share_success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完成保存/分享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format, channel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retest_click</w:t>
            </w:r>
          </w:p>
        </w:tc>
        <w:tc>
          <w:tcPr>
            <w:tcW w:type="dxa" w:w="367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点击重测</w:t>
            </w:r>
          </w:p>
        </w:tc>
        <w:tc>
          <w:tcPr>
            <w:tcW w:type="dxa" w:w="40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previous_type, version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10.3 实验优先级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实验</w:t>
            </w:r>
          </w:p>
        </w:tc>
        <w:tc>
          <w:tcPr>
            <w:tcW w:type="dxa" w:w="32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变量</w:t>
            </w:r>
          </w:p>
        </w:tc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主要指标</w:t>
            </w:r>
          </w:p>
        </w:tc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护栏指标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落地页价值表达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“认识优势盲点” vs “测出人格身份”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开始率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完成率、投诉率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题目自动前进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自动前进 vs 手动下一题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完成时长、完成率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误触返回率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结果首屏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人格身份优先 vs 四维数据优先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停留、展开率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结果认同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分享卡文案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身份型、反差型、洞察型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分享点击、回流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负面反馈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结果深度</w:t>
            </w:r>
          </w:p>
        </w:tc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短报告 vs 分层展开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阅读深度</w:t>
            </w:r>
          </w:p>
        </w:tc>
        <w:tc>
          <w:tcPr>
            <w:tcW w:type="dxa" w:w="20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首屏跳出、加载性能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10.4 数据最小化原则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会话可用随机标识，不采集姓名、身份证、券商账户或精确资产规模。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IP 仅用于安全与聚合统计时应缩短保留期并脱敏；产品分析优先使用匿名 session。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原始答案与结果分开授权；公开结果链接只包含结果，不包含逐题答案。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用户应能删除本地进度；绑定账号后应提供删除历史记录入口。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P2 交易流水导入需单独 PRD、单独同意和更严格安全评审。</w:t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11. 非功能、隐私与合规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11.1 性能与兼容性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703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首屏性能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在常见 4G 环境下，目标 LCP ≤ 2.5 秒；首包只加载落地页必要资源。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答题交互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选项点击到视觉反馈 ≤ 100 ms；题目切换无明显布局抖动。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结果生成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正常计算与内容返回 ≤ 1 秒；分享图生成 ≤ 3 秒。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兼容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近两年 iOS Safari、Android Chrome、微信内置浏览器；桌面 Chrome / Edge / Safari。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可用性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核心流程月度可用性目标 99.9%；错误时答案不丢失。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可访问性</w:t>
            </w:r>
          </w:p>
        </w:tc>
        <w:tc>
          <w:tcPr>
            <w:tcW w:type="dxa" w:w="770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正文对比度 ≥ 4.5:1；点击目标建议 ≥ 44×44 px；支持键盘和屏幕阅读标签。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11.2 安全要求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全站 HTTPS；分享 token 使用高熵随机值，不可由自增 ID 枚举。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服务端校验题库版本、答案范围和提交幂等，防止篡改结果或注入异常值。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配置发布需要权限控制、审计日志和回滚；结果文案不直接渲染未净化 HTML。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限制批量请求与分享图滥用；不因防刷策略误伤正常连续测试。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日志不得记录完整原始答案与可识别个人信息的组合。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11.3 合规与免责声明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BEB"/>
            <w:tcBorders>
              <w:top w:val="nil"/>
              <w:left w:val="single" w:sz="18" w:color="D97706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D97706"/>
                <w:sz w:val="21"/>
              </w:rPr>
              <w:t>标准免责声明（建议文案）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TT16 用于帮助你认识常见交易行为倾向，结果仅供自我观察与娱乐，不构成证券投资建议、收益承诺、风险承受能力评估或任何金融产品推荐。市场有风险，投资决策应结合你的财务状况、投资目标和独立判断。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风险点</w:t>
            </w:r>
          </w:p>
        </w:tc>
        <w:tc>
          <w:tcPr>
            <w:tcW w:type="dxa" w:w="77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金融误导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不得根据类型推荐具体股票、行业、买卖点、杠杆或仓位比例。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适当性混淆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风险能力（收入、负债、资金期限）与人格风险意愿分开，不输出适当性等级。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人格误导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不称“科学诊断”或“终身不变”；提供边界与重测说明。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商标与关联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不得使用“官方 MBTI”“MBTI 认证”等表述；上线前由法务审核品牌与宣传。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未成年人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内容不鼓励未成年人实际交易；涉及开户、交易功能时需另行年龄与合规策略。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隐私</w:t>
            </w:r>
          </w:p>
        </w:tc>
        <w:tc>
          <w:tcPr>
            <w:tcW w:type="dxa" w:w="77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隐私政策说明收集字段、用途、保留期、共享方、删除方式。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12. 发布计划与验收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12.1 建议里程碑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里程碑</w:t>
            </w:r>
          </w:p>
        </w:tc>
        <w:tc>
          <w:tcPr>
            <w:tcW w:type="dxa" w:w="39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交付物</w:t>
            </w:r>
          </w:p>
        </w:tc>
        <w:tc>
          <w:tcPr>
            <w:tcW w:type="dxa" w:w="37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退出条件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M0 · 模型冻结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四维定义、16 型命名、题库 v0.1、评分规则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产品、内容、研究三方评审通过。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M1 · 可用原型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落地—答题—结果—分享全链路高保真原型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完成 8–12 名可用性测试，无阻断问题。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M2 · MVP 开发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H5、评分服务、配置、埋点、分享图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功能验收、性能与安全检查通过。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M3 · 灰度验证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小流量发布、预测试数据与反馈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修复 P0/P1 问题；指标与题目分布可接受。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M4 · 公测</w:t>
            </w:r>
          </w:p>
        </w:tc>
        <w:tc>
          <w:tcPr>
            <w:tcW w:type="dxa" w:w="39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全量渠道、内容运营、实验计划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监控、回滚、客服与合规材料就绪。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12.2 P0 验收清单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32 道基础题与全部选项在目标设备完整显示，无文本截断。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用户可前进、返回、修改、刷新恢复；断网后答案不丢失。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每个核心维度有效答案不足 4 题时不可无提示出结果。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相同答案集在相同版本下始终得到相同分数、代码和徽章。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自动化测试可构造并命中全部 16 种类型；边界和 50/50 结果可复现。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16 个结果页所有模块齐全，最长文案和最长人格名不溢出。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两种分享卡尺寸均通过像素级检查，二维码 / 短链可回流。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埋点事件顺序、属性与漏斗口径可在测试环境核验。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隐私、免责声明、反馈和删除本地进度入口可访问。</w:t>
      </w:r>
    </w:p>
    <w:p>
      <w:pPr>
        <w:pStyle w:val="TTBullet"/>
        <w:keepNext w:val="0"/>
        <w:keepLines w:val="0"/>
        <w:spacing w:before="0" w:after="6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11827"/>
          <w:sz w:val="21"/>
        </w:rPr>
        <w:t>•  无阻断级缺陷；核心流程错误率满足发布阈值；具备回滚方案。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12.3 核心测试用例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用例</w:t>
            </w:r>
          </w:p>
        </w:tc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场景</w:t>
            </w:r>
          </w:p>
        </w:tc>
        <w:tc>
          <w:tcPr>
            <w:tcW w:type="dxa" w:w="597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TC-01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全选左端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得到 RHDP；四维均明显左倾。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TC-02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全选右端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得到 STAF；四维均明显右倾。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TC-03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单维 50/50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按锚点题确定字母并显示边界标识。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TC-04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两个维度边界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触发 2 道决胜题，不超过上限。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TC-05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三个维度边界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只触发离 50% 最近的 2 个；第三个按锚点规则。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TC-06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大量不适用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覆盖不足时提示补答，不直接生成高可信结果。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TC-07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刷新恢复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回到相同题号，已选答案完整。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TC-08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重复提交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返回同一 result_id，不产生重复记录。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TC-09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版本切换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旧会话按旧版本提交，新会话使用新版本。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TC-10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分享隐私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公开链接无法看到逐题答案或用户标识。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TC-11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最长内容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所有结果和卡片在小屏及两种尺寸无溢出。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TC-12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异常网络</w:t>
            </w:r>
          </w:p>
        </w:tc>
        <w:tc>
          <w:tcPr>
            <w:tcW w:type="dxa" w:w="59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失败后可重试，答案、会话和结果不丢失。</w:t>
            </w:r>
          </w:p>
        </w:tc>
      </w:tr>
    </w:tbl>
    <w:p>
      <w:pPr>
        <w:spacing w:after="0"/>
      </w:pP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13. 风险与待决策项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13.1 主要风险与缓解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1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表现</w:t>
            </w:r>
          </w:p>
        </w:tc>
        <w:tc>
          <w:tcPr>
            <w:tcW w:type="dxa" w:w="45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缓解措施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结果“巴纳姆效应”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所有人都觉得泛泛像自己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使用具体行为、反例与失效条件；收集“不像我”原因。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用户定向答题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为了得到某人格而猜测题目意图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不显示维度；正反向混排；题目价值中立。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人格被理解成能力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用户把进攻型当高手、把防守型当弱者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无排名；结果同时呈现优势与盲点；不关联收益。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题库偏向某类市场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牛市样本导致 S/T/A/F 偏高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覆盖牛熊震荡情境；按市场状态分层分析。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社交标签伤害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人格名或文案带羞辱性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内容审核规范；正式结果不使用贬损词。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隐私扩张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后续导入交易记录引发信任风险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MVP 不接入；P2 单独同意、脱敏与安全评审。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直接竞品模仿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名称和 16 型易被复制</w:t>
            </w:r>
          </w:p>
        </w:tc>
        <w:tc>
          <w:tcPr>
            <w:tcW w:type="dxa" w:w="45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建立题库验证、真实行为对照、内容 IP 与数据壁垒。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13.2 上线前必须拍板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68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待决策问题</w:t>
            </w:r>
          </w:p>
        </w:tc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7"/>
              </w:rPr>
              <w:t>建议负责人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O-01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人格名是否全部保留当前版本，尤其“火箭驾驶员”“信仰船长”的风险语义。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产品 + 品牌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O-02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首发用户以 A 股投资者为主，还是覆盖港股 / 美股；题目是否需要市场中性改写。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产品 + 运营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O-03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结果插画采用人物、动物、物件还是抽象徽章；是否建立四大阵营视觉。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品牌 + 设计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O-04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分享卡默认突出人格身份还是风险洞察；首发渠道优先级。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增长 + 设计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O-05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基础内容配置由代码仓库管理还是建设轻量 CMS。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产品 + 技术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O-06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首次预测试的样本来源、激励方式与数据使用告知。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研究 + 运营 + 合规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O-07</w:t>
            </w:r>
          </w:p>
        </w:tc>
        <w:tc>
          <w:tcPr>
            <w:tcW w:type="dxa" w:w="68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英文对外品牌统一写作“TT16”还是“TradeType 16”，域名与社媒账号可用性。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7"/>
              </w:rPr>
              <w:t>品牌 + 法务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附录 A：16 型人格内容矩阵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A1 · 研究 × 持有：企业复利族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代码</w:t>
            </w:r>
          </w:p>
        </w:tc>
        <w:tc>
          <w:tcPr>
            <w:tcW w:type="dxa" w:w="13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人格</w:t>
            </w:r>
          </w:p>
        </w:tc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画像</w:t>
            </w:r>
          </w:p>
        </w:tc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优势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盲点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首要守则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RHDP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复利园丁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深度研究、长期持有、分散配置并定期再平衡。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耐心、独立、风险预算稳定。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变化反应慢；把“长期”当作不止损。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每季度重写一次投资论点，而不是只看盈亏。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RHDF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价值守望者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相信价值回归，平时防守，错杀时灵活加仓。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逆向思考、估值敏感、情绪相对稳定。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价值陷阱；下跌后不断寻找合理化。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加仓前必须写出新增证据，而不是只因为更便宜。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RHAP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高确信舵手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深研少数公司，用集中仓位表达长期判断。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研究深、敢等待、决策一致。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确认偏误、集中度与流动性风险。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建仓前定义 2 个必须减仓的论点失效条件。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RHAF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信仰船长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对少数长期叙事有强信念，能穿越大幅波动。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抗噪音、愿意持有、适应复杂信息。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爱上股票；事实变化后仍保护原观点。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安排一名“反方”，定期只寻找推翻自己的证据。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A2 · 研究 × 交易：预期差猎手族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代码</w:t>
            </w:r>
          </w:p>
        </w:tc>
        <w:tc>
          <w:tcPr>
            <w:tcW w:type="dxa" w:w="13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人格</w:t>
            </w:r>
          </w:p>
        </w:tc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画像</w:t>
            </w:r>
          </w:p>
        </w:tc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优势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盲点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首要守则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RTDP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财报工程师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围绕财报、估值与催化剂进行有规则的中短期交易。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分析清晰、事件计划、可复盘。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过度建模；忽略市场已定价程度和成本。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每笔交易同时写“事实预测”和“市场预期预测”。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RTDF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事件雷达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快速捕捉公告、政策、产品和业绩变化并灵活调整。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信息敏感、反应快、仓位弹性大。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噪音过度交易；消息源质量不稳定。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任何消息交易先确认来源、影响路径和有效期限。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RTAP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预期差狙击手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深研后集中下注尚未充分定价的短中期机会。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赔率意识强、行动果断、能抓关键变量。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二元事件风险；确信和仓位同步过热。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单个事件的最大亏损额在入场前固定。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RTAF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错杀猎手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在恐慌与极端定价中快速逆向出手。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逆向勇气、估值敏感、机会捕捉快。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过早抄底；把价格便宜当作风险结束。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分批进入，最后一批仓位必须等到风险信号改善。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A3 · 信号 × 持有：趋势赛道族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代码</w:t>
            </w:r>
          </w:p>
        </w:tc>
        <w:tc>
          <w:tcPr>
            <w:tcW w:type="dxa" w:w="13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人格</w:t>
            </w:r>
          </w:p>
        </w:tc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画像</w:t>
            </w:r>
          </w:p>
        </w:tc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优势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盲点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首要守则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SHDP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趋势配置师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分散跟随中长期趋势，使用规则换仓和再平衡。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顺势、纪律、避免主观争辩。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趋势反转退出慢；震荡期损耗。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写清趋势失效指标与再入场规则，避免随意改参数。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SHDF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轮动领航员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根据行业景气、风格和资金偏好灵活轮动。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适应快、组合视角强、善于比较机会成本。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换仓过快；追逐最近最强风格。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设置最低持有观察期和单月换仓上限。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SHAP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赛道骑士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集中持有最强趋势或核心赛道，趋势未破坏就继续。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抓主线、容忍波动、收益弹性高。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拥挤交易；高估趋势持续性。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同时监控价格趋势与拥挤度，二者恶化时降仓。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SHAF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主题追光者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快速识别宏大叙事和情绪扩散，并愿意长期跟随。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想象力、主题敏感、叙事传播理解。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故事大于兑现；估值和基本面被忽略。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每个主题必须列出三项可量化兑现里程碑。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A4 · 信号 × 交易：盘面动量族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代码</w:t>
            </w:r>
          </w:p>
        </w:tc>
        <w:tc>
          <w:tcPr>
            <w:tcW w:type="dxa" w:w="136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人格</w:t>
            </w:r>
          </w:p>
        </w:tc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画像</w:t>
            </w:r>
          </w:p>
        </w:tc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优势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盲点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首要守则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STDP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系统波段手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用技术信号、固定风险和多标的做规则化波段。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执行一致、止损清晰、可统计。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震荡反复止损；参数过拟合。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按市场状态分组评估策略，不因几笔亏损立刻改规则。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STDF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盘面游侠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仓位较轻，依据即时反馈快速调整进出。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灵活、反应快、能承认错误。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过度交易；盘感难以复制。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每个交易日限制无计划开仓次数，并记录原因。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STAP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突破狙击手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集中参与突破、动量与强势股，严格执行止损。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行动快、赔率明确、风险点清楚。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假突破、滑点、连续止损后的加速。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连续止损达到阈值后强制降风险并暂停。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STAF</w:t>
            </w:r>
          </w:p>
        </w:tc>
        <w:tc>
          <w:tcPr>
            <w:tcW w:type="dxa" w:w="13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火箭驾驶员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速度、集中度和临场反应都很高，偏爱活跃行情。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机会嗅觉、决断力、适应极端行情。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FOMO、复仇交易、杠杆和流动性风险。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任何追涨单都先设冷静期、最大损失和退出时间。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附录 B：MVP 32 道题库草案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FFBEB"/>
            <w:tcBorders>
              <w:top w:val="nil"/>
              <w:left w:val="single" w:sz="18" w:color="D97706"/>
              <w:bottom w:val="nil"/>
              <w:right w:val="nil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keepNext w:val="0"/>
              <w:keepLines w:val="0"/>
              <w:spacing w:before="0" w:after="60" w:line="288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D97706"/>
                <w:sz w:val="21"/>
              </w:rPr>
              <w:t>使用说明</w:t>
            </w:r>
          </w:p>
          <w:p>
            <w:pPr>
              <w:keepNext w:val="0"/>
              <w:keepLines w:val="0"/>
              <w:spacing w:before="0" w:after="0" w:line="312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475569"/>
                <w:sz w:val="20"/>
              </w:rPr>
              <w:t>以下是可进入认知访谈的 v0.1 草案，不应直接视为已验证量表。统一答法：更接近 A / 略接近 A / 视情况 / 略接近 B / 更接近 B；带“可 N/A”的题可选择“未经历过 / 不适用”。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B.1 核心题 Q01–Q06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维度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A 端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B 端</w:t>
            </w:r>
          </w:p>
        </w:tc>
        <w:tc>
          <w:tcPr>
            <w:tcW w:type="dxa" w:w="1007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标签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Q01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发现一只陌生股票时，我会先读财报、商业模式和估值。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我会先看走势、成交量、相对强弱和市场反馈。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观点形成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Q02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买入后下跌，我先复核公司逻辑和估值是否变化。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买入后下跌，我先检查趋势、量价和市场是否否定。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持仓管理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Q03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财报前，我更关注收入、利润、指引与合理估值。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财报前，我更关注市场预期、仓位拥挤和价格反应。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事件决策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错过一段上涨后，我宁可等到理解价值再决定。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错过一段上涨后，我会在趋势确认时考虑跟随。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追涨情境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Q05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我的确信主要来自独立研究能否自洽。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我的确信主要来自多个市场信号是否相互确认。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确信来源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Q06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R/S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我通常在投资论点或估值明显改变时卖出。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我通常在价格结构或市场信号明显转弱时卖出。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退出依据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B.2 核心题 Q07–Q12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维度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A 端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B 端</w:t>
            </w:r>
          </w:p>
        </w:tc>
        <w:tc>
          <w:tcPr>
            <w:tcW w:type="dxa" w:w="1007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标签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Q07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买入时，我通常设想持有数月到数年。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买入时，我通常设想持有数天到数周。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周期锚点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Q08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逻辑没变但三个月不涨，我愿意继续等待。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逻辑没变但三个月不涨，我会考虑换到更活跃机会。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机会成本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Q09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我更喜欢通过少数高质量决策长期复利。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我更喜欢通过多次交易持续捕捉波段。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收益机制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Q10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一家公司三年成长清晰但近期没有催化，我仍觉得有吸引力。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即使长期不错，近期没有催化也会降低我的兴趣。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催化偏好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Q11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我主要按月或季度系统检查组合。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我几乎每天都会重新评估是否需要换仓。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评估频率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Q12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H/T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达到短期目标价后，只要长期论点仍强，我可能继续持有。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达到预设波段目标后，我更倾向落袋并寻找下一笔。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兑现方式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B.3 核心题 Q13–Q18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维度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A 端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B 端</w:t>
            </w:r>
          </w:p>
        </w:tc>
        <w:tc>
          <w:tcPr>
            <w:tcW w:type="dxa" w:w="1007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标签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Q13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即使很看好，单只股票也会受到明确仓位上限约束。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当确信度很高时，我愿意让少数股票占较大仓位。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集中度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连续几笔盈利后，我仍按原风险预算下单。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连续几笔盈利后，我会适度放大仓位抓住状态。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信心校准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Q15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面对陌生但热门的主题，我通常先用很小仓位观察。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面对陌生但强势的主题，我愿意用有存在感的仓位参与。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探索仓位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Q16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我更偏好多个中等把握机会分散组合。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我更偏好少数高把握机会集中表达。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组合结构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Q17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我会主动降低仓位，避免组合回撤进入不舒服区间。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只要赔率足够，我能接受组合出现较深波动。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回撤容忍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Q18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D/A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我通常避免杠杆或复杂衍生品放大风险。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在规则允许且机会清晰时，我愿意使用杠杆或期权增强表达。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工具使用·可 N/A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B.4 核心题 Q19–Q24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维度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A 端</w:t>
            </w:r>
          </w:p>
        </w:tc>
        <w:tc>
          <w:tcPr>
            <w:tcW w:type="dxa" w:w="35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B 端</w:t>
            </w:r>
          </w:p>
        </w:tc>
        <w:tc>
          <w:tcPr>
            <w:tcW w:type="dxa" w:w="1007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标签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Q19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下单前，我通常写清买入理由、仓位和退出条件。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我更愿意先参与，再根据后续信息决定如何处理。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计划程度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Q20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突发利好出现时，我会先检查是否符合原计划再行动。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突发利好出现时，我会优先根据新信息快速调整。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新闻反应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Q21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价格触及预设止损，即使直觉觉得会反弹，我也偏向执行。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价格触及预设止损时，我会结合当下情况重新判断。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止损执行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Q22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我会使用交易日志、清单或固定复盘流程。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我更依赖经验和盘感，不喜欢把流程写得很死。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复盘方式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Q23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仓位通常由预设公式或风险预算决定。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仓位通常根据当下确信度和盘面感觉灵活决定。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仓位执行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Q24</w:t>
            </w:r>
          </w:p>
        </w:tc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P/F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我通常在预设复盘节点调整策略规则。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市场状态变化时，我会立即调整规则和打法。</w:t>
            </w:r>
          </w:p>
        </w:tc>
        <w:tc>
          <w:tcPr>
            <w:tcW w:type="dxa" w:w="100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策略适应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B.5 行为偏差题 Q25–Q30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14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徽章</w:t>
            </w:r>
          </w:p>
        </w:tc>
        <w:tc>
          <w:tcPr>
            <w:tcW w:type="dxa" w:w="33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A 端</w:t>
            </w:r>
          </w:p>
        </w:tc>
        <w:tc>
          <w:tcPr>
            <w:tcW w:type="dxa" w:w="33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B 端</w:t>
            </w:r>
          </w:p>
        </w:tc>
        <w:tc>
          <w:tcPr>
            <w:tcW w:type="dxa" w:w="6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4"/>
              </w:rPr>
              <w:t>备注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Q25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从众 / FOMO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一只没研究过的股票三天上涨 25%，朋友都在讨论。我会先放回观察清单。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我会先买一点或尽快参与，避免继续错过。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Q26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损失厌恶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持仓亏损 20% 且原逻辑变弱，我会按证据减仓或退出。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我更愿意等价格回到成本附近再处理。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Q27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信心校准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连续三笔盈利后，我会保持原风险预算。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连续三笔盈利后，我会明显提高下一笔仓位。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Q28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交易冲动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止损后，我会暂停并复盘，再决定是否重新进入。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止损后，我常想尽快换一笔或重新进入把损失赚回来。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Q29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回撤镇定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组合一周下跌 10% 时，我会先按预案逐项复核。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组合一周下跌 10% 时，我会先快速卖出一部分让自己安心。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Q30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复盘一致性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一笔交易结束后，我会记录买卖理由和过程质量。</w:t>
            </w:r>
          </w:p>
        </w:tc>
        <w:tc>
          <w:tcPr>
            <w:tcW w:type="dxa" w:w="33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一笔交易结束后，我主要看赚亏，很快转向下一笔。</w:t>
            </w:r>
          </w:p>
        </w:tc>
        <w:tc>
          <w:tcPr>
            <w:tcW w:type="dxa" w:w="6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4"/>
              </w:rPr>
              <w:t>可 N/A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B.6 一致性题 Q31–Q32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65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对应</w:t>
            </w:r>
          </w:p>
        </w:tc>
        <w:tc>
          <w:tcPr>
            <w:tcW w:type="dxa" w:w="46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题目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计分说明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Q31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P/F 平行反向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我很少提前写清退出条件，通常临盘决定如何处理。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1–5 同意度；与 Q19/Q21/Q22 比较，不直接计入类型。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Q32</w:t>
            </w:r>
          </w:p>
        </w:tc>
        <w:tc>
          <w:tcPr>
            <w:tcW w:type="dxa" w:w="165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H/T 平行反向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即使最初是长期逻辑，我也常因为几天不涨就换股。</w:t>
            </w:r>
          </w:p>
        </w:tc>
        <w:tc>
          <w:tcPr>
            <w:tcW w:type="dxa" w:w="25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1–5 同意度；与 Q07/Q08/Q11 比较，不直接计入类型。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B.7 边界决胜题池（示例）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86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维度</w:t>
            </w:r>
          </w:p>
        </w:tc>
        <w:tc>
          <w:tcPr>
            <w:tcW w:type="dxa" w:w="57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题目</w:t>
            </w:r>
          </w:p>
        </w:tc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5"/>
              </w:rPr>
              <w:t>两端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TB-RS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R/S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当公司研究结论与强烈价格趋势冲突时，你最终更愿意服从哪一类证据？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研究证据 ↔ 市场信号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TB-HT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H/T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面对“长期很好、短期沉寂”和“长期一般、短期强催化”两个机会，你更常选择哪一个？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长期兑现 ↔ 短期机会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TB-DA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D/A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当最看好的机会出现时，你更担心“仓位太小错过”还是“仓位太大看错”？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错过收益 ↔ 控制损失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TB-PF</w:t>
            </w:r>
          </w:p>
        </w:tc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P/F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新信息出现但不在计划内时，你更愿意“先按原规则处理”还是“立即重做决策”？</w:t>
            </w:r>
          </w:p>
        </w:tc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5"/>
              </w:rPr>
              <w:t>规则优先 ↔ 新信息优先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THeading1"/>
        <w:keepNext/>
        <w:keepLines w:val="0"/>
        <w:spacing w:before="200" w:after="140" w:line="264" w:lineRule="auto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40"/>
        </w:rPr>
        <w:t>附录 C：事件与数据字段</w:t>
      </w: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C.1 核心数据实体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15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实体</w:t>
            </w:r>
          </w:p>
        </w:tc>
        <w:tc>
          <w:tcPr>
            <w:tcW w:type="dxa" w:w="489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关键字段</w:t>
            </w:r>
          </w:p>
        </w:tc>
        <w:tc>
          <w:tcPr>
            <w:tcW w:type="dxa" w:w="27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assessment_version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id, status, published_at, scoring_version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定义一次可复现的题库与评分版本。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question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id, version, type, text, options, dimension, direction, weights, allow_na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题目配置；任何发布后修改都生成新版本。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session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id, version, source, started_at, last_active_at, status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匿名测评会话；不含直接身份信息。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response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session_id, question_id, value, is_na, duration_ms, revision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逐题回答；支持修改历史或最终态。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id, session_id, type_code, dimension_scores, badge_scores, confidence, stability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固化结果；保留算法版本。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result_content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type_code, locale, content_version, fields...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人格内容与分享文案。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share_token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token, result_id, format, created_at, source_share_id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公开分享访问与归因。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feedback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result_id, rating, reason, text, created_at</w:t>
            </w:r>
          </w:p>
        </w:tc>
        <w:tc>
          <w:tcPr>
            <w:tcW w:type="dxa" w:w="27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结果认同与纠错。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C.2 建议 API 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3311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路径</w:t>
            </w:r>
          </w:p>
        </w:tc>
        <w:tc>
          <w:tcPr>
            <w:tcW w:type="dxa" w:w="54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GET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/v1/assessment/current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获取当前发布版本、落地页与题目配置（不返回评分密钥型细节）。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POST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/v1/sessions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创建匿名会话。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PUT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/v1/sessions/{id}/responses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批量或增量保存答案，支持幂等。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POST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/v1/sessions/{id}/submit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校验并计算结果；返回决胜题或最终结果。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GET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/v1/results/{token}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获取公开结果内容，不返回逐题答案。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POST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/v1/results/{id}/share-card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生成指定尺寸分享卡。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POST</w:t>
            </w:r>
          </w:p>
        </w:tc>
        <w:tc>
          <w:tcPr>
            <w:tcW w:type="dxa" w:w="331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/v1/results/{id}/feedback</w:t>
            </w:r>
          </w:p>
        </w:tc>
        <w:tc>
          <w:tcPr>
            <w:tcW w:type="dxa" w:w="54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3" w:color="CBD5E1"/>
              <w:left w:val="single" w:sz="3" w:color="CBD5E1"/>
              <w:bottom w:val="single" w:sz="3" w:color="CBD5E1"/>
              <w:right w:val="single" w:sz="3" w:color="CBD5E1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111827"/>
                <w:sz w:val="16"/>
              </w:rPr>
              <w:t>提交结果认同与原因。</w:t>
            </w:r>
          </w:p>
        </w:tc>
      </w:tr>
    </w:tbl>
    <w:p>
      <w:pPr>
        <w:spacing w:after="0"/>
      </w:pPr>
    </w:p>
    <w:p>
      <w:pPr>
        <w:pStyle w:val="TTHeading2"/>
        <w:keepNext/>
        <w:keepLines w:val="0"/>
        <w:spacing w:before="120" w:after="80" w:line="264" w:lineRule="auto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29"/>
        </w:rPr>
        <w:t>C.3 结果对象示例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0F172A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172A"/>
              <w:left w:val="single" w:sz="4" w:color="0F172A"/>
              <w:bottom w:val="single" w:sz="4" w:color="0F172A"/>
              <w:right w:val="single" w:sz="4" w:color="0F172A"/>
            </w:tcBorders>
          </w:tcPr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{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"assessment_version": "tt16-1.0.0",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"type_code": "RHAP",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"type_name": "高确信舵手",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"dimensions": {"R": 82, "H": 71, "A": 76, "P": 68},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"badges": {"confidence_calibration": 74, "loss_aversion": 61, "review_consistency": 58},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"data_quality": "high",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"type_stability": "stable",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"boundary_dimensions": [],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 xml:space="preserve">  "content_version": "zh-CN-1.0.0"</w:t>
            </w:r>
          </w:p>
          <w:p>
            <w:pPr>
              <w:keepNext w:val="0"/>
              <w:keepLines w:val="0"/>
              <w:spacing w:before="0" w:after="0" w:line="276" w:lineRule="auto"/>
            </w:pPr>
            <w:r>
              <w:rPr>
                <w:rFonts w:ascii="Noto Sans Mono CJK SC" w:hAnsi="Noto Sans Mono CJK SC" w:eastAsia="Noto Sans Mono CJK SC" w:cs="Noto Sans Mono CJK SC"/>
                <w:b w:val="0"/>
                <w:i w:val="0"/>
                <w:color w:val="E2E8F0"/>
                <w:sz w:val="17"/>
              </w:rPr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 w:val="0"/>
        <w:keepLines w:val="0"/>
        <w:spacing w:before="0" w:after="160" w:line="240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2563EB"/>
          <w:sz w:val="68"/>
        </w:rPr>
        <w:t>TT16</w:t>
      </w:r>
    </w:p>
    <w:p>
      <w:pPr>
        <w:keepNext w:val="0"/>
        <w:keepLines w:val="0"/>
        <w:spacing w:before="0" w:after="320" w:line="264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0F172A"/>
          <w:sz w:val="36"/>
        </w:rPr>
        <w:t>TradeType 16 · 交易人格十六型</w:t>
      </w:r>
    </w:p>
    <w:p>
      <w:pPr>
        <w:keepNext w:val="0"/>
        <w:keepLines w:val="0"/>
        <w:spacing w:before="0" w:after="280" w:line="348" w:lineRule="auto"/>
        <w:ind w:left="936" w:right="936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475569"/>
          <w:sz w:val="24"/>
        </w:rPr>
        <w:t>先帮助用户看见自己的稳定倾向，再帮助他们识别在压力下会偏离到哪里。</w:t>
      </w:r>
    </w:p>
    <w:p>
      <w:pPr>
        <w:keepNext w:val="0"/>
        <w:keepLines w:val="0"/>
        <w:spacing w:before="0" w:after="0" w:line="336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64748B"/>
          <w:sz w:val="18"/>
        </w:rPr>
        <w:t>PRD v1.0 · 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4748B"/>
        <w:sz w:val="17"/>
      </w:rPr>
      <w:t xml:space="preserve">第 </w:t>
    </w:r>
    <w:r>
      <w:rPr>
        <w:rFonts w:ascii="Noto Sans CJK SC" w:hAnsi="Noto Sans CJK SC" w:eastAsia="Noto Sans CJK SC" w:cs="Noto Sans CJK SC"/>
        <w:color w:val="64748B"/>
        <w:sz w:val="17"/>
      </w:rP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 w:cs="Noto Sans CJK SC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spacing w:before="0" w:after="0" w:line="240" w:lineRule="auto"/>
      <w:jc w:val="left"/>
      <w:pBdr>
        <w:bottom w:val="single" w:sz="4" w:space="2" w:color="CBD5E1"/>
      </w:pBdr>
    </w:pPr>
    <w:r>
      <w:rPr>
        <w:rFonts w:ascii="Noto Sans CJK SC" w:hAnsi="Noto Sans CJK SC" w:eastAsia="Noto Sans CJK SC" w:cs="Noto Sans CJK SC"/>
        <w:b/>
        <w:i w:val="0"/>
        <w:color w:val="2563EB"/>
        <w:sz w:val="17"/>
      </w:rPr>
      <w:t>TT16</w:t>
    </w:r>
    <w:r>
      <w:rPr>
        <w:rFonts w:ascii="Noto Sans CJK SC" w:hAnsi="Noto Sans CJK SC" w:eastAsia="Noto Sans CJK SC" w:cs="Noto Sans CJK SC"/>
        <w:b w:val="0"/>
        <w:i w:val="0"/>
        <w:color w:val="64748B"/>
        <w:sz w:val="16"/>
      </w:rPr>
      <w:t xml:space="preserve">  |  TradeType 16 交易人格十六型 ·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Noto Sans CJK SC" w:hAnsi="Noto Sans CJK SC" w:eastAsia="Noto Sans CJK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Bullet">
    <w:name w:val="TT Bullet"/>
    <w:pPr>
      <w:tabs>
        <w:tab w:pos="360" w:val="left"/>
      </w:tabs>
      <w:spacing w:after="60"/>
      <w:ind w:left="346" w:hanging="230"/>
    </w:pPr>
    <w:rPr>
      <w:rFonts w:ascii="Noto Sans CJK SC" w:hAnsi="Noto Sans CJK SC" w:eastAsia="Noto Sans CJK SC"/>
      <w:sz w:val="20"/>
    </w:rPr>
  </w:style>
  <w:style w:type="paragraph" w:customStyle="1" w:styleId="TTBullet2">
    <w:name w:val="TT Bullet 2"/>
    <w:pPr>
      <w:tabs>
        <w:tab w:pos="691" w:val="left"/>
      </w:tabs>
      <w:spacing w:after="60"/>
      <w:ind w:left="691" w:hanging="230"/>
    </w:pPr>
    <w:rPr>
      <w:rFonts w:ascii="Noto Sans CJK SC" w:hAnsi="Noto Sans CJK SC" w:eastAsia="Noto Sans CJK SC"/>
      <w:sz w:val="20"/>
    </w:rPr>
  </w:style>
  <w:style w:type="paragraph" w:customStyle="1" w:styleId="TTNumber">
    <w:name w:val="TT Number"/>
    <w:pPr>
      <w:tabs>
        <w:tab w:pos="360" w:val="left"/>
      </w:tabs>
      <w:spacing w:after="60"/>
      <w:ind w:left="346" w:hanging="230"/>
    </w:pPr>
    <w:rPr>
      <w:rFonts w:ascii="Noto Sans CJK SC" w:hAnsi="Noto Sans CJK SC" w:eastAsia="Noto Sans CJK SC"/>
      <w:sz w:val="20"/>
    </w:rPr>
  </w:style>
  <w:style w:type="paragraph" w:customStyle="1" w:styleId="TTHeading1">
    <w:name w:val="TT Heading 1"/>
    <w:pPr>
      <w:keepNext/>
      <w:keepLines/>
      <w:pageBreakBefore w:val="0"/>
    </w:pPr>
    <w:rPr>
      <w:rFonts w:ascii="Noto Sans CJK SC" w:hAnsi="Noto Sans CJK SC" w:eastAsia="Noto Sans CJK SC"/>
    </w:rPr>
  </w:style>
  <w:style w:type="paragraph" w:customStyle="1" w:styleId="TTHeading2">
    <w:name w:val="TT Heading 2"/>
    <w:pPr>
      <w:keepNext/>
      <w:keepLines/>
    </w:pPr>
    <w:rPr>
      <w:rFonts w:ascii="Noto Sans CJK SC" w:hAnsi="Noto Sans CJK SC" w:eastAsia="Noto Sans CJK SC"/>
    </w:rPr>
  </w:style>
  <w:style w:type="paragraph" w:customStyle="1" w:styleId="TTHeading3">
    <w:name w:val="TT Heading 3"/>
    <w:pPr>
      <w:keepNext/>
      <w:keepLines/>
    </w:pPr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TT16（TradeType 16）交易人格十六型 PRD</dc:title>
  <dc:subject>移动端 H5 股票交易人格测试产品需求文档</dc:subject>
  <dc:creator>TT16 产品组</dc:creator>
  <cp:keywords>TT16, TradeType 16, 交易人格, PRD, 股票, 行为金融</cp:keywords>
  <dc:description>MVP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