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实验三   负反馈放大器</w:t>
      </w:r>
    </w:p>
    <w:p>
      <w:pPr>
        <w:ind w:firstLine="600"/>
        <w:rPr>
          <w:rFonts w:hint="eastAsia" w:ascii="宋体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</w:t>
      </w:r>
      <w:r>
        <w:rPr>
          <w:rFonts w:hint="eastAsia" w:ascii="宋体"/>
          <w:b/>
          <w:sz w:val="24"/>
          <w:szCs w:val="24"/>
        </w:rPr>
        <w:t>﹑实验目的</w:t>
      </w:r>
    </w:p>
    <w:p>
      <w:pPr>
        <w:numPr>
          <w:ilvl w:val="0"/>
          <w:numId w:val="1"/>
        </w:numPr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掌握电压串联负反馈放大电路性能、指标的测试方法。</w:t>
      </w:r>
    </w:p>
    <w:p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 w:ascii="宋体"/>
          <w:sz w:val="24"/>
          <w:szCs w:val="24"/>
        </w:rPr>
        <w:t>通过实验了解电压串联负反馈对放大电路性能、指标的影响。</w:t>
      </w:r>
    </w:p>
    <w:p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 w:ascii="宋体"/>
          <w:sz w:val="24"/>
          <w:szCs w:val="24"/>
        </w:rPr>
        <w:t>掌握负反馈放大电路频率特性的测试方法。</w:t>
      </w:r>
    </w:p>
    <w:p>
      <w:pPr>
        <w:ind w:firstLine="612"/>
        <w:rPr>
          <w:rFonts w:hint="eastAsia"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>二﹑实验原理</w:t>
      </w:r>
    </w:p>
    <w:p>
      <w:pPr>
        <w:ind w:firstLine="612"/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drawing>
          <wp:inline distT="0" distB="0" distL="0" distR="0">
            <wp:extent cx="5067300" cy="3305175"/>
            <wp:effectExtent l="0" t="0" r="0" b="9525"/>
            <wp:docPr id="1961977055" name="图片 2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77055" name="图片 2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12"/>
        <w:jc w:val="center"/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图6.1 两级电压串联负反馈实验电路</w:t>
      </w:r>
    </w:p>
    <w:p>
      <w:pPr>
        <w:ind w:firstLine="612"/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负反馈在电子电路中有着非常广泛的应用。虽然它使放大器的放大倍数降低，但它在多方面改善放大器的动态参数，如稳定放大倍数，改善输入﹑输出电阻，减小非线性失真和展宽通频带等。因此，几乎所有的实用放大器都带有负反馈。</w:t>
      </w:r>
    </w:p>
    <w:p>
      <w:pPr>
        <w:ind w:firstLine="612"/>
        <w:rPr>
          <w:rFonts w:hint="eastAsia" w:ascii="宋体"/>
          <w:sz w:val="30"/>
        </w:rPr>
      </w:pPr>
      <w:r>
        <w:rPr>
          <w:rFonts w:hint="eastAsia" w:ascii="宋体"/>
          <w:sz w:val="24"/>
          <w:szCs w:val="24"/>
        </w:rPr>
        <w:t>负反馈放大器有四种组态，即电压串联，电压并联，电流串联，电流并联。本实验以电压串联负反馈为例，分析负反馈对放大器各项性能指标的影响。</w:t>
      </w:r>
    </w:p>
    <w:p>
      <w:pPr>
        <w:numPr>
          <w:ilvl w:val="0"/>
          <w:numId w:val="2"/>
        </w:numPr>
        <w:tabs>
          <w:tab w:val="left" w:pos="0"/>
          <w:tab w:val="left" w:pos="1050"/>
          <w:tab w:val="clear" w:pos="1320"/>
        </w:tabs>
        <w:ind w:left="0" w:firstLine="600"/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带有负反馈的两级阻容耦合放大电路</w:t>
      </w:r>
    </w:p>
    <w:p>
      <w:pPr>
        <w:tabs>
          <w:tab w:val="left" w:pos="1050"/>
        </w:tabs>
        <w:ind w:firstLine="600" w:firstLineChars="250"/>
        <w:rPr>
          <w:rFonts w:ascii="宋体"/>
          <w:sz w:val="30"/>
        </w:rPr>
      </w:pPr>
      <w:r>
        <w:rPr>
          <w:rFonts w:hint="eastAsia" w:ascii="宋体"/>
          <w:sz w:val="24"/>
          <w:szCs w:val="24"/>
        </w:rPr>
        <w:t>图6.1为带有负反馈的两级阻容耦合放大电路，在电路中通过</w:t>
      </w:r>
      <w:r>
        <w:rPr>
          <w:rFonts w:ascii="宋体"/>
          <w:position w:val="-14"/>
          <w:sz w:val="24"/>
          <w:szCs w:val="24"/>
        </w:rPr>
        <w:object>
          <v:shape id="_x0000_i1025" o:spt="75" type="#_x0000_t75" style="height:18.75pt;width:17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把输出电压</w:t>
      </w:r>
      <w:r>
        <w:rPr>
          <w:position w:val="-12"/>
        </w:rPr>
        <w:object>
          <v:shape id="_x0000_i1026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引回到输入端，加在晶体管T1的发射极上，在发射极电阻</w:t>
      </w:r>
      <w:r>
        <w:rPr>
          <w:rFonts w:ascii="宋体"/>
          <w:position w:val="-14"/>
          <w:sz w:val="24"/>
          <w:szCs w:val="24"/>
        </w:rPr>
        <w:object>
          <v:shape id="_x0000_i1027" o:spt="75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上形成反馈电压</w:t>
      </w:r>
      <w:r>
        <w:rPr>
          <w:rFonts w:ascii="宋体"/>
          <w:position w:val="-14"/>
          <w:sz w:val="24"/>
          <w:szCs w:val="24"/>
        </w:rPr>
        <w:object>
          <v:shape id="_x0000_i1028" o:spt="75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。根据反馈的判断方法可知，它属于电压串联负反馈。</w:t>
      </w:r>
    </w:p>
    <w:p>
      <w:pPr>
        <w:ind w:firstLine="612"/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主要性能指标如下</w:t>
      </w:r>
    </w:p>
    <w:p>
      <w:pPr>
        <w:numPr>
          <w:ilvl w:val="0"/>
          <w:numId w:val="3"/>
        </w:numPr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闭环电压放大倍数</w:t>
      </w:r>
      <w:r>
        <w:rPr>
          <w:rFonts w:ascii="宋体"/>
          <w:position w:val="-14"/>
          <w:sz w:val="24"/>
          <w:szCs w:val="24"/>
        </w:rPr>
        <w:object>
          <v:shape id="_x0000_i1029" o:spt="75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</w:p>
    <w:p>
      <w:pPr>
        <w:rPr>
          <w:rFonts w:hint="eastAsia" w:ascii="宋体"/>
          <w:sz w:val="24"/>
          <w:szCs w:val="24"/>
        </w:rPr>
      </w:pPr>
      <w:r>
        <w:rPr>
          <w:rFonts w:ascii="宋体"/>
          <w:sz w:val="24"/>
          <w:szCs w:val="24"/>
        </w:rPr>
        <w:pict>
          <v:shape id="_x0000_s2060" o:spid="_x0000_s2060" o:spt="75" type="#_x0000_t75" style="position:absolute;left:0pt;margin-left:105pt;margin-top:0.6pt;height:33.45pt;width:78.75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topAndBottom"/>
          </v:shape>
          <o:OLEObject Type="Embed" ProgID="Equation.3" ShapeID="_x0000_s2060" DrawAspect="Content" ObjectID="_1468075730" r:id="rId16">
            <o:LockedField>false</o:LockedField>
          </o:OLEObject>
        </w:pict>
      </w:r>
      <w:r>
        <w:rPr>
          <w:rFonts w:hint="eastAsia" w:ascii="宋体"/>
          <w:sz w:val="30"/>
        </w:rPr>
        <w:t xml:space="preserve">    </w:t>
      </w:r>
      <w:r>
        <w:rPr>
          <w:rFonts w:hint="eastAsia" w:ascii="宋体"/>
          <w:sz w:val="24"/>
          <w:szCs w:val="24"/>
        </w:rPr>
        <w:t xml:space="preserve">其中 </w:t>
      </w:r>
      <w:r>
        <w:rPr>
          <w:rFonts w:ascii="宋体"/>
          <w:position w:val="-12"/>
          <w:sz w:val="24"/>
          <w:szCs w:val="24"/>
        </w:rPr>
        <w:object>
          <v:shape id="_x0000_i1030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0" DrawAspect="Content" ObjectID="_1468075731" r:id="rId18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 xml:space="preserve">——基本放大器（无反馈）的电压放大倍数，即开环电压放大倍数。 </w:t>
      </w:r>
    </w:p>
    <w:p>
      <w:pPr>
        <w:ind w:firstLine="600"/>
        <w:rPr>
          <w:rFonts w:hint="eastAsia" w:ascii="宋体"/>
          <w:sz w:val="24"/>
          <w:szCs w:val="24"/>
        </w:rPr>
      </w:pPr>
      <w:r>
        <w:rPr>
          <w:rFonts w:ascii="宋体"/>
          <w:position w:val="-12"/>
          <w:sz w:val="24"/>
          <w:szCs w:val="24"/>
        </w:rPr>
        <w:object>
          <v:shape id="_x0000_i1031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1" DrawAspect="Content" ObjectID="_1468075732" r:id="rId20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 xml:space="preserve"> ——反馈深度，它的大小决定了负反馈对放大器性能改善的程度。</w:t>
      </w:r>
    </w:p>
    <w:p>
      <w:pPr>
        <w:numPr>
          <w:ilvl w:val="0"/>
          <w:numId w:val="3"/>
        </w:numPr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反馈系数</w:t>
      </w:r>
      <w:r>
        <w:rPr>
          <w:rFonts w:ascii="宋体"/>
          <w:position w:val="-10"/>
          <w:sz w:val="24"/>
          <w:szCs w:val="24"/>
        </w:rPr>
        <w:object>
          <v:shape id="_x0000_i1032" o:spt="75" type="#_x0000_t75" style="height:17.25pt;width: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2" DrawAspect="Content" ObjectID="_1468075733" r:id="rId22">
            <o:LockedField>false</o:LockedField>
          </o:OLEObject>
        </w:object>
      </w:r>
      <w:r>
        <w:rPr>
          <w:rFonts w:ascii="宋体"/>
          <w:position w:val="-12"/>
          <w:sz w:val="24"/>
          <w:szCs w:val="24"/>
        </w:rPr>
        <w:object>
          <v:shape id="_x0000_i1033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33" DrawAspect="Content" ObjectID="_1468075734" r:id="rId24">
            <o:LockedField>false</o:LockedField>
          </o:OLEObject>
        </w:objec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rFonts w:ascii="宋体"/>
          <w:sz w:val="24"/>
          <w:szCs w:val="24"/>
        </w:rPr>
        <w:pict>
          <v:shape id="_x0000_s2061" o:spid="_x0000_s2061" o:spt="75" type="#_x0000_t75" style="position:absolute;left:0pt;margin-left:110.25pt;margin-top:0.6pt;height:34.8pt;width:75.55pt;mso-wrap-distance-bottom:0pt;mso-wrap-distance-top:0pt;z-index:251660288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topAndBottom"/>
          </v:shape>
          <o:OLEObject Type="Embed" ProgID="Equation.3" ShapeID="_x0000_s2061" DrawAspect="Content" ObjectID="_1468075735" r:id="rId26">
            <o:LockedField>false</o:LockedField>
          </o:OLEObject>
        </w:pict>
      </w:r>
      <w:r>
        <w:rPr>
          <w:rFonts w:hint="eastAsia" w:ascii="宋体"/>
          <w:sz w:val="24"/>
          <w:szCs w:val="24"/>
        </w:rPr>
        <w:t>输入电阻</w:t>
      </w:r>
      <w:r>
        <w:rPr>
          <w:rFonts w:ascii="宋体"/>
          <w:position w:val="-14"/>
          <w:sz w:val="24"/>
          <w:szCs w:val="24"/>
        </w:rPr>
        <w:object>
          <v:shape id="_x0000_i1034" o:spt="75" type="#_x0000_t75" style="height:18.75pt;width:17.2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4" DrawAspect="Content" ObjectID="_1468075736" r:id="rId28">
            <o:LockedField>false</o:LockedField>
          </o:OLEObject>
        </w:object>
      </w:r>
    </w:p>
    <w:p>
      <w:pPr>
        <w:ind w:firstLine="600"/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             </w:t>
      </w:r>
      <w:r>
        <w:rPr>
          <w:rFonts w:ascii="宋体"/>
          <w:position w:val="-14"/>
          <w:sz w:val="24"/>
          <w:szCs w:val="24"/>
        </w:rPr>
        <w:object>
          <v:shape id="_x0000_i1035" o:spt="75" type="#_x0000_t75" style="height:18.75pt;width:87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5" DrawAspect="Content" ObjectID="_1468075737" r:id="rId30">
            <o:LockedField>false</o:LockedField>
          </o:OLEObject>
        </w:object>
      </w:r>
    </w:p>
    <w:p>
      <w:pPr>
        <w:ind w:firstLine="480"/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  </w:t>
      </w:r>
      <w:r>
        <w:rPr>
          <w:rFonts w:ascii="宋体"/>
          <w:position w:val="-12"/>
          <w:sz w:val="24"/>
          <w:szCs w:val="24"/>
        </w:rPr>
        <w:object>
          <v:shape id="_x0000_i1036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36" DrawAspect="Content" ObjectID="_1468075738" r:id="rId32">
            <o:LockedField>false</o:LockedField>
          </o:OLEObject>
        </w:object>
      </w:r>
      <w:r>
        <w:rPr>
          <w:sz w:val="24"/>
          <w:szCs w:val="24"/>
          <w:vertAlign w:val="subscript"/>
        </w:rPr>
        <w:t xml:space="preserve"> </w:t>
      </w:r>
      <w:r>
        <w:rPr>
          <w:rFonts w:hint="eastAsia" w:ascii="宋体"/>
          <w:sz w:val="24"/>
          <w:szCs w:val="24"/>
        </w:rPr>
        <w:t xml:space="preserve"> ——基本放大器的输入电阻（不包括偏置电阻）</w:t>
      </w:r>
    </w:p>
    <w:p>
      <w:pPr>
        <w:rPr>
          <w:rFonts w:hint="eastAsia" w:ascii="宋体"/>
          <w:sz w:val="24"/>
          <w:szCs w:val="24"/>
        </w:rPr>
      </w:pPr>
      <w:r>
        <w:rPr>
          <w:rFonts w:ascii="宋体"/>
          <w:sz w:val="24"/>
          <w:szCs w:val="24"/>
        </w:rPr>
        <w:pict>
          <v:shape id="_x0000_s2062" o:spid="_x0000_s2062" o:spt="75" type="#_x0000_t75" style="position:absolute;left:0pt;margin-left:94.5pt;margin-top:37.2pt;height:34.35pt;width:68.05pt;mso-wrap-distance-bottom:0pt;mso-wrap-distance-top:0pt;z-index:251661312;mso-width-relative:page;mso-height-relative:page;" o:ole="t" filled="f" o:preferrelative="t" stroked="f" coordsize="21600,21600" o:allowincell="f">
            <v:path/>
            <v:fill on="f" focussize="0,0"/>
            <v:stroke on="f" joinstyle="miter"/>
            <v:imagedata r:id="rId35" o:title=""/>
            <o:lock v:ext="edit" aspectratio="t"/>
            <w10:wrap type="topAndBottom"/>
          </v:shape>
          <o:OLEObject Type="Embed" ProgID="Equation.3" ShapeID="_x0000_s2062" DrawAspect="Content" ObjectID="_1468075739" r:id="rId34">
            <o:LockedField>false</o:LockedField>
          </o:OLEObject>
        </w:pict>
      </w:r>
      <w:r>
        <w:rPr>
          <w:rFonts w:hint="eastAsia" w:ascii="宋体"/>
          <w:sz w:val="24"/>
          <w:szCs w:val="24"/>
        </w:rPr>
        <w:t xml:space="preserve">     （4）输出电阻</w:t>
      </w:r>
      <w:r>
        <w:rPr>
          <w:rFonts w:ascii="宋体"/>
          <w:position w:val="-14"/>
          <w:sz w:val="24"/>
          <w:szCs w:val="24"/>
        </w:rPr>
        <w:object>
          <v:shape id="_x0000_i1037" o:spt="75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3" ShapeID="_x0000_i1037" DrawAspect="Content" ObjectID="_1468075740" r:id="rId36">
            <o:LockedField>false</o:LockedField>
          </o:OLEObject>
        </w:object>
      </w:r>
    </w:p>
    <w:p>
      <w:pPr>
        <w:ind w:firstLine="1080" w:firstLineChars="450"/>
        <w:rPr>
          <w:rFonts w:hint="eastAsia"/>
          <w:sz w:val="24"/>
          <w:szCs w:val="24"/>
        </w:rPr>
      </w:pPr>
      <w:r>
        <w:rPr>
          <w:position w:val="-12"/>
          <w:sz w:val="24"/>
          <w:szCs w:val="24"/>
        </w:rPr>
        <w:object>
          <v:shape id="_x0000_i1038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3" ShapeID="_x0000_i1038" DrawAspect="Content" ObjectID="_1468075741" r:id="rId38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 ——基</w:t>
      </w:r>
      <w:r>
        <w:rPr>
          <w:rFonts w:hint="eastAsia" w:ascii="宋体" w:hAnsi="宋体"/>
          <w:sz w:val="24"/>
          <w:szCs w:val="24"/>
        </w:rPr>
        <w:t>本放大器的输出电阻</w:t>
      </w:r>
    </w:p>
    <w:p>
      <w:pPr>
        <w:ind w:firstLine="1080" w:firstLineChars="450"/>
        <w:rPr>
          <w:rFonts w:hint="eastAsia"/>
          <w:sz w:val="24"/>
          <w:szCs w:val="24"/>
        </w:rPr>
      </w:pPr>
      <w:r>
        <w:rPr>
          <w:position w:val="-12"/>
          <w:sz w:val="24"/>
          <w:szCs w:val="24"/>
        </w:rPr>
        <w:object>
          <v:shape id="_x0000_i1039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3" ShapeID="_x0000_i1039" DrawAspect="Content" ObjectID="_1468075742" r:id="rId40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  ——基本放大器</w:t>
      </w:r>
      <w:r>
        <w:rPr>
          <w:position w:val="-10"/>
          <w:sz w:val="24"/>
          <w:szCs w:val="24"/>
        </w:rPr>
        <w:object>
          <v:shape id="_x0000_i1040" o:spt="75" type="#_x0000_t75" style="height:17.25pt;width:38.2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3" ShapeID="_x0000_i1040" DrawAspect="Content" ObjectID="_1468075743" r:id="rId42">
            <o:LockedField>false</o:LockedField>
          </o:OLEObject>
        </w:object>
      </w:r>
      <w:r>
        <w:rPr>
          <w:rFonts w:hint="eastAsia"/>
          <w:sz w:val="24"/>
          <w:szCs w:val="24"/>
        </w:rPr>
        <w:t>时的电压放大倍数</w:t>
      </w:r>
    </w:p>
    <w:p>
      <w:pPr>
        <w:ind w:firstLine="42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2. 基本放大电路的动态参数 </w:t>
      </w:r>
    </w:p>
    <w:p>
      <w:pPr>
        <w:ind w:firstLine="42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本实验还需要测量基本放大器的动态参数，怎样实现无反馈而得到基本放大器呢？不能简单地断开反馈支路，而是要去掉反馈作用，但又要把反馈网络的影响（负载效应）考虑到基本放大器中去。为此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（1）在画基本放大器的输入回路时，因为是电压负反馈，所以可将负反馈放大器的输出端交流短路，即令</w:t>
      </w:r>
      <w:r>
        <w:rPr>
          <w:position w:val="-12"/>
        </w:rPr>
        <w:object>
          <v:shape id="_x0000_i1041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41" DrawAspect="Content" ObjectID="_1468075744" r:id="rId44">
            <o:LockedField>false</o:LockedField>
          </o:OLEObject>
        </w:object>
      </w:r>
      <w:r>
        <w:rPr>
          <w:rFonts w:hint="eastAsia"/>
          <w:sz w:val="24"/>
          <w:szCs w:val="24"/>
        </w:rPr>
        <w:t>=0，此时相当于并联在</w:t>
      </w:r>
      <w:r>
        <w:rPr>
          <w:rFonts w:ascii="宋体"/>
          <w:position w:val="-14"/>
          <w:sz w:val="24"/>
          <w:szCs w:val="24"/>
        </w:rPr>
        <w:object>
          <v:shape id="_x0000_i1042" o:spt="75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42" DrawAspect="Content" ObjectID="_1468075745" r:id="rId45">
            <o:LockedField>false</o:LockedField>
          </o:OLEObject>
        </w:object>
      </w:r>
      <w:r>
        <w:rPr>
          <w:rFonts w:hint="eastAsia"/>
          <w:sz w:val="24"/>
          <w:szCs w:val="24"/>
        </w:rPr>
        <w:t>上。</w:t>
      </w: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0" distR="0">
            <wp:extent cx="4295775" cy="2533650"/>
            <wp:effectExtent l="0" t="0" r="9525" b="0"/>
            <wp:docPr id="1368506727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06727" name="图片 1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图6.2 两级基本放大电路</w:t>
      </w:r>
    </w:p>
    <w:p>
      <w:pPr>
        <w:ind w:firstLine="420" w:firstLineChars="17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（2）在画基本放大器的输出回路时，由于输入端是串联负反馈，因此需要将反馈放大器的输入端（T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管的射极）开路，此时（</w:t>
      </w:r>
      <w:r>
        <w:rPr>
          <w:rFonts w:hint="eastAsia" w:ascii="宋体"/>
          <w:position w:val="-14"/>
          <w:sz w:val="24"/>
          <w:szCs w:val="24"/>
        </w:rPr>
        <w:object>
          <v:shape id="_x0000_i1043" o:spt="75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43" DrawAspect="Content" ObjectID="_1468075746" r:id="rId47">
            <o:LockedField>false</o:LockedField>
          </o:OLEObject>
        </w:object>
      </w:r>
      <w:r>
        <w:rPr>
          <w:rFonts w:hint="eastAsia"/>
          <w:sz w:val="24"/>
          <w:szCs w:val="24"/>
        </w:rPr>
        <w:t>+</w:t>
      </w:r>
      <w:r>
        <w:rPr>
          <w:rFonts w:ascii="宋体"/>
          <w:position w:val="-14"/>
          <w:sz w:val="24"/>
          <w:szCs w:val="24"/>
        </w:rPr>
        <w:object>
          <v:shape id="_x0000_i1044" o:spt="75" type="#_x0000_t75" style="height:18.75pt;width:17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44" DrawAspect="Content" ObjectID="_1468075747" r:id="rId48">
            <o:LockedField>false</o:LockedField>
          </o:OLEObject>
        </w:object>
      </w:r>
      <w:r>
        <w:rPr>
          <w:rFonts w:hint="eastAsia"/>
          <w:sz w:val="24"/>
          <w:szCs w:val="24"/>
        </w:rPr>
        <w:t>）相当于并接在输出端。可近似认为并接在输出端。</w:t>
      </w:r>
    </w:p>
    <w:p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根据上述规律，就可得到所要求的如图6.2所示的基本放大器。</w:t>
      </w:r>
    </w:p>
    <w:p>
      <w:pPr>
        <w:ind w:firstLine="612"/>
        <w:rPr>
          <w:rFonts w:hint="eastAsia"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>三﹑实验仪器</w:t>
      </w:r>
    </w:p>
    <w:p>
      <w:pPr>
        <w:numPr>
          <w:ilvl w:val="2"/>
          <w:numId w:val="4"/>
        </w:numPr>
        <w:tabs>
          <w:tab w:val="left" w:pos="945"/>
          <w:tab w:val="left" w:pos="1050"/>
        </w:tabs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双踪示波器                            一台</w:t>
      </w:r>
    </w:p>
    <w:p>
      <w:pPr>
        <w:numPr>
          <w:ilvl w:val="2"/>
          <w:numId w:val="4"/>
        </w:numPr>
        <w:tabs>
          <w:tab w:val="left" w:pos="945"/>
          <w:tab w:val="left" w:pos="1050"/>
        </w:tabs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信号发生器                            一台</w:t>
      </w:r>
    </w:p>
    <w:p>
      <w:pPr>
        <w:numPr>
          <w:ilvl w:val="2"/>
          <w:numId w:val="4"/>
        </w:numPr>
        <w:tabs>
          <w:tab w:val="left" w:pos="1050"/>
          <w:tab w:val="clear" w:pos="1260"/>
        </w:tabs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毫伏表                                一台</w:t>
      </w:r>
    </w:p>
    <w:p>
      <w:pPr>
        <w:numPr>
          <w:ilvl w:val="2"/>
          <w:numId w:val="4"/>
        </w:numPr>
        <w:tabs>
          <w:tab w:val="left" w:pos="1050"/>
          <w:tab w:val="clear" w:pos="1260"/>
        </w:tabs>
        <w:rPr>
          <w:rFonts w:hint="eastAsia"/>
          <w:sz w:val="24"/>
          <w:szCs w:val="24"/>
        </w:rPr>
      </w:pPr>
      <w:r>
        <w:rPr>
          <w:rFonts w:hint="eastAsia" w:ascii="宋体"/>
          <w:sz w:val="24"/>
          <w:szCs w:val="24"/>
        </w:rPr>
        <w:t>模拟电路实验箱                        一台</w:t>
      </w:r>
    </w:p>
    <w:p>
      <w:pPr>
        <w:numPr>
          <w:ilvl w:val="2"/>
          <w:numId w:val="4"/>
        </w:numPr>
        <w:tabs>
          <w:tab w:val="left" w:pos="1050"/>
          <w:tab w:val="clear" w:pos="1260"/>
        </w:tabs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万用表                                一只</w:t>
      </w:r>
    </w:p>
    <w:p>
      <w:pPr>
        <w:ind w:firstLine="600"/>
        <w:rPr>
          <w:rFonts w:hint="eastAsia" w:ascii="宋体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>
        <w:rPr>
          <w:rFonts w:hint="eastAsia" w:ascii="宋体"/>
          <w:b/>
          <w:sz w:val="24"/>
          <w:szCs w:val="24"/>
        </w:rPr>
        <w:t>﹑实验内容</w:t>
      </w:r>
    </w:p>
    <w:p>
      <w:pPr>
        <w:numPr>
          <w:ilvl w:val="0"/>
          <w:numId w:val="5"/>
        </w:numPr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测量静态工作点</w:t>
      </w:r>
    </w:p>
    <w:p>
      <w:pPr>
        <w:ind w:firstLine="612"/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按图6.2连接实验电路，各仪器连接方法同实验二中图2.6。断开负载</w:t>
      </w:r>
      <w:r>
        <w:rPr>
          <w:rFonts w:hint="eastAsia" w:ascii="宋体"/>
          <w:position w:val="-10"/>
          <w:sz w:val="24"/>
          <w:szCs w:val="24"/>
        </w:rPr>
        <w:object>
          <v:shape id="_x0000_i1045" o:spt="75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5" DrawAspect="Content" ObjectID="_1468075748" r:id="rId49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，调节信号源使</w:t>
      </w:r>
      <w:r>
        <w:rPr>
          <w:rFonts w:hint="eastAsia" w:ascii="宋体"/>
          <w:position w:val="-12"/>
          <w:sz w:val="24"/>
          <w:szCs w:val="24"/>
        </w:rPr>
        <w:object>
          <v:shape id="_x0000_i1046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6" DrawAspect="Content" ObjectID="_1468075749" r:id="rId51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＝1</w:t>
      </w:r>
      <w:r>
        <w:rPr>
          <w:position w:val="-6"/>
          <w:sz w:val="18"/>
          <w:szCs w:val="18"/>
        </w:rPr>
        <w:object>
          <v:shape id="_x0000_i1047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47" DrawAspect="Content" ObjectID="_1468075750" r:id="rId53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﹑</w:t>
      </w:r>
      <w:r>
        <w:rPr>
          <w:rFonts w:ascii="宋体"/>
          <w:position w:val="-10"/>
          <w:sz w:val="24"/>
          <w:szCs w:val="24"/>
        </w:rPr>
        <w:object>
          <v:shape id="_x0000_i1048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48" DrawAspect="Content" ObjectID="_1468075751" r:id="rId55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=1</w:t>
      </w:r>
      <w:r>
        <w:rPr>
          <w:rFonts w:ascii="宋体"/>
          <w:position w:val="-6"/>
          <w:sz w:val="24"/>
          <w:szCs w:val="24"/>
        </w:rPr>
        <w:object>
          <v:shape id="_x0000_i1049" o:spt="75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49" DrawAspect="Content" ObjectID="_1468075752" r:id="rId57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的信号，调节</w:t>
      </w:r>
      <w:r>
        <w:rPr>
          <w:rFonts w:ascii="宋体"/>
          <w:position w:val="-12"/>
          <w:sz w:val="24"/>
          <w:szCs w:val="24"/>
        </w:rPr>
        <w:object>
          <v:shape id="_x0000_i1050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0" DrawAspect="Content" ObjectID="_1468075753" r:id="rId59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，使输出波形不失真，断开信号源，用万用表直流电压档，测量第一级﹑第二级的静态工作点，完成表6.1。</w:t>
      </w:r>
    </w:p>
    <w:p>
      <w:pPr>
        <w:ind w:left="600"/>
        <w:jc w:val="center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表6.1测量静态工作点测量数据记录表</w:t>
      </w:r>
    </w:p>
    <w:tbl>
      <w:tblPr>
        <w:tblStyle w:val="8"/>
        <w:tblW w:w="8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305"/>
        <w:gridCol w:w="1215"/>
        <w:gridCol w:w="1260"/>
        <w:gridCol w:w="1365"/>
        <w:gridCol w:w="21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dxa"/>
            <w:vMerge w:val="restart"/>
          </w:tcPr>
          <w:p>
            <w:pPr>
              <w:rPr>
                <w:rFonts w:hint="eastAsia" w:ascii="宋体"/>
                <w:sz w:val="28"/>
                <w:szCs w:val="28"/>
              </w:rPr>
            </w:pPr>
          </w:p>
        </w:tc>
        <w:tc>
          <w:tcPr>
            <w:tcW w:w="3780" w:type="dxa"/>
            <w:gridSpan w:val="3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测量值</w:t>
            </w:r>
          </w:p>
        </w:tc>
        <w:tc>
          <w:tcPr>
            <w:tcW w:w="3465" w:type="dxa"/>
            <w:gridSpan w:val="2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position w:val="-10"/>
                <w:szCs w:val="21"/>
              </w:rPr>
              <w:object>
                <v:shape id="_x0000_i1051" o:spt="75" type="#_x0000_t75" style="height:17.25pt;width:9pt;" o:ole="t" filled="f" o:preferrelative="t" stroked="f" coordsize="21600,21600">
                  <v:path/>
                  <v:fill on="f" focussize="0,0"/>
                  <v:stroke on="f" joinstyle="miter"/>
                  <v:imagedata r:id="rId62" o:title=""/>
                  <o:lock v:ext="edit" aspectratio="t"/>
                  <w10:wrap type="none"/>
                  <w10:anchorlock/>
                </v:shape>
                <o:OLEObject Type="Embed" ProgID="Equation.3" ShapeID="_x0000_i1051" DrawAspect="Content" ObjectID="_1468075754" r:id="rId61">
                  <o:LockedField>false</o:LockedField>
                </o:OLEObject>
              </w:object>
            </w:r>
            <w:r>
              <w:rPr>
                <w:rFonts w:hint="eastAsia"/>
                <w:szCs w:val="21"/>
              </w:rPr>
              <w:t>测算值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dxa"/>
            <w:vMerge w:val="continue"/>
          </w:tcPr>
          <w:p>
            <w:pPr>
              <w:rPr>
                <w:rFonts w:hint="eastAsia" w:ascii="宋体"/>
                <w:sz w:val="28"/>
                <w:szCs w:val="28"/>
              </w:rPr>
            </w:pPr>
          </w:p>
        </w:tc>
        <w:tc>
          <w:tcPr>
            <w:tcW w:w="1305" w:type="dxa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position w:val="-10"/>
                <w:sz w:val="24"/>
                <w:szCs w:val="24"/>
              </w:rPr>
              <w:object>
                <v:shape id="_x0000_i1052" o:spt="75" type="#_x0000_t75" style="height:17.25pt;width:19.5pt;" o:ole="t" filled="f" o:preferrelative="t" stroked="f" coordsize="21600,21600">
                  <v:path/>
                  <v:fill on="f" focussize="0,0"/>
                  <v:stroke on="f" joinstyle="miter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3" ShapeID="_x0000_i1052" DrawAspect="Content" ObjectID="_1468075755" r:id="rId63">
                  <o:LockedField>false</o:LockedField>
                </o:OLEObject>
              </w:object>
            </w:r>
            <w:r>
              <w:rPr>
                <w:position w:val="-10"/>
                <w:sz w:val="24"/>
                <w:szCs w:val="24"/>
              </w:rPr>
              <w:object>
                <v:shape id="_x0000_i1053" o:spt="75" type="#_x0000_t75" style="height:15.75pt;width:20.25pt;" o:ole="t" filled="f" o:preferrelative="t" stroked="f" coordsize="21600,21600">
                  <v:path/>
                  <v:fill on="f" focussize="0,0"/>
                  <v:stroke on="f" joinstyle="miter"/>
                  <v:imagedata r:id="rId66" o:title=""/>
                  <o:lock v:ext="edit" aspectratio="t"/>
                  <w10:wrap type="none"/>
                  <w10:anchorlock/>
                </v:shape>
                <o:OLEObject Type="Embed" ProgID="Equation.3" ShapeID="_x0000_i1053" DrawAspect="Content" ObjectID="_1468075756" r:id="rId65">
                  <o:LockedField>false</o:LockedField>
                </o:OLEObject>
              </w:object>
            </w:r>
          </w:p>
        </w:tc>
        <w:tc>
          <w:tcPr>
            <w:tcW w:w="1215" w:type="dxa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position w:val="-12"/>
                <w:sz w:val="24"/>
                <w:szCs w:val="24"/>
              </w:rPr>
              <w:object>
                <v:shape id="_x0000_i1054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68" o:title=""/>
                  <o:lock v:ext="edit" aspectratio="t"/>
                  <w10:wrap type="none"/>
                  <w10:anchorlock/>
                </v:shape>
                <o:OLEObject Type="Embed" ProgID="Equation.3" ShapeID="_x0000_i1054" DrawAspect="Content" ObjectID="_1468075757" r:id="rId67">
                  <o:LockedField>false</o:LockedField>
                </o:OLEObject>
              </w:object>
            </w:r>
            <w:r>
              <w:rPr>
                <w:position w:val="-10"/>
                <w:sz w:val="24"/>
                <w:szCs w:val="24"/>
              </w:rPr>
              <w:object>
                <v:shape id="_x0000_i1055" o:spt="75" type="#_x0000_t75" style="height:15.75pt;width:20.25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3" ShapeID="_x0000_i1055" DrawAspect="Content" ObjectID="_1468075758" r:id="rId69">
                  <o:LockedField>false</o:LockedField>
                </o:OLEObject>
              </w:object>
            </w:r>
          </w:p>
        </w:tc>
        <w:tc>
          <w:tcPr>
            <w:tcW w:w="1260" w:type="dxa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position w:val="-10"/>
                <w:sz w:val="24"/>
                <w:szCs w:val="24"/>
              </w:rPr>
              <w:object>
                <v:shape id="_x0000_i1056" o:spt="75" type="#_x0000_t75" style="height:17.25pt;width:15pt;" o:ole="t" filled="f" o:preferrelative="t" stroked="f" coordsize="21600,21600">
                  <v:path/>
                  <v:fill on="f" focussize="0,0"/>
                  <v:stroke on="f" joinstyle="miter"/>
                  <v:imagedata r:id="rId72" o:title=""/>
                  <o:lock v:ext="edit" aspectratio="t"/>
                  <w10:wrap type="none"/>
                  <w10:anchorlock/>
                </v:shape>
                <o:OLEObject Type="Embed" ProgID="Equation.3" ShapeID="_x0000_i1056" DrawAspect="Content" ObjectID="_1468075759" r:id="rId71">
                  <o:LockedField>false</o:LockedField>
                </o:OLEObject>
              </w:object>
            </w:r>
            <w:r>
              <w:rPr>
                <w:position w:val="-10"/>
                <w:sz w:val="24"/>
                <w:szCs w:val="24"/>
              </w:rPr>
              <w:object>
                <v:shape id="_x0000_i1057" o:spt="75" type="#_x0000_t75" style="height:15.75pt;width:20.25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3" ShapeID="_x0000_i1057" DrawAspect="Content" ObjectID="_1468075760" r:id="rId73">
                  <o:LockedField>false</o:LockedField>
                </o:OLEObject>
              </w:object>
            </w:r>
          </w:p>
        </w:tc>
        <w:tc>
          <w:tcPr>
            <w:tcW w:w="1365" w:type="dxa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position w:val="-12"/>
                <w:szCs w:val="21"/>
              </w:rPr>
              <w:object>
                <v:shape id="_x0000_i1058" o:spt="75" type="#_x0000_t75" style="height:18pt;width:29.25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t"/>
                  <w10:wrap type="none"/>
                  <w10:anchorlock/>
                </v:shape>
                <o:OLEObject Type="Embed" ProgID="Equation.3" ShapeID="_x0000_i1058" DrawAspect="Content" ObjectID="_1468075761" r:id="rId74">
                  <o:LockedField>false</o:LockedField>
                </o:OLEObject>
              </w:object>
            </w:r>
            <w:r>
              <w:rPr>
                <w:position w:val="-10"/>
                <w:sz w:val="24"/>
                <w:szCs w:val="24"/>
              </w:rPr>
              <w:object>
                <v:shape id="_x0000_i1059" o:spt="75" type="#_x0000_t75" style="height:15.75pt;width:20.25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3" ShapeID="_x0000_i1059" DrawAspect="Content" ObjectID="_1468075762" r:id="rId76">
                  <o:LockedField>false</o:LockedField>
                </o:OLEObject>
              </w:object>
            </w:r>
          </w:p>
        </w:tc>
        <w:tc>
          <w:tcPr>
            <w:tcW w:w="2100" w:type="dxa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ascii="宋体"/>
                <w:position w:val="-12"/>
                <w:sz w:val="28"/>
                <w:szCs w:val="28"/>
              </w:rPr>
              <w:object>
                <v:shape id="_x0000_i1060" o:spt="75" type="#_x0000_t75" style="height:18pt;width:14.25pt;" o:ole="t" filled="f" o:preferrelative="t" stroked="f" coordsize="21600,21600">
                  <v:path/>
                  <v:fill on="f" focussize="0,0"/>
                  <v:stroke on="f" joinstyle="miter"/>
                  <v:imagedata r:id="rId78" o:title=""/>
                  <o:lock v:ext="edit" aspectratio="t"/>
                  <w10:wrap type="none"/>
                  <w10:anchorlock/>
                </v:shape>
                <o:OLEObject Type="Embed" ProgID="Equation.3" ShapeID="_x0000_i1060" DrawAspect="Content" ObjectID="_1468075763" r:id="rId77">
                  <o:LockedField>false</o:LockedField>
                </o:OLEObject>
              </w:object>
            </w:r>
            <w:r>
              <w:rPr>
                <w:rFonts w:hint="eastAsia" w:ascii="宋体"/>
                <w:sz w:val="28"/>
                <w:szCs w:val="28"/>
              </w:rPr>
              <w:t>（</w:t>
            </w:r>
            <w:r>
              <w:rPr>
                <w:rFonts w:ascii="宋体"/>
                <w:position w:val="-6"/>
                <w:sz w:val="28"/>
                <w:szCs w:val="28"/>
              </w:rPr>
              <w:object>
                <v:shape id="_x0000_i1061" o:spt="75" type="#_x0000_t75" style="height:14.25pt;width:18.75pt;" o:ole="t" filled="f" o:preferrelative="t" stroked="f" coordsize="21600,21600">
                  <v:path/>
                  <v:fill on="f" focussize="0,0"/>
                  <v:stroke on="f" joinstyle="miter"/>
                  <v:imagedata r:id="rId80" o:title=""/>
                  <o:lock v:ext="edit" aspectratio="t"/>
                  <w10:wrap type="none"/>
                  <w10:anchorlock/>
                </v:shape>
                <o:OLEObject Type="Embed" ProgID="Equation.3" ShapeID="_x0000_i1061" DrawAspect="Content" ObjectID="_1468075764" r:id="rId79">
                  <o:LockedField>false</o:LockedField>
                </o:OLEObject>
              </w:object>
            </w:r>
            <w:r>
              <w:rPr>
                <w:rFonts w:hint="eastAsia" w:ascii="宋体"/>
                <w:sz w:val="28"/>
                <w:szCs w:val="2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dxa"/>
          </w:tcPr>
          <w:p>
            <w:pPr>
              <w:pStyle w:val="2"/>
              <w:ind w:firstLine="140" w:firstLineChars="5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</w:t>
            </w:r>
            <w:r>
              <w:rPr>
                <w:rFonts w:ascii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305" w:type="dxa"/>
            <w:vAlign w:val="top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0.669</w:t>
            </w:r>
          </w:p>
        </w:tc>
        <w:tc>
          <w:tcPr>
            <w:tcW w:w="1215" w:type="dxa"/>
            <w:vAlign w:val="top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3.90</w:t>
            </w: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3.79</w:t>
            </w:r>
          </w:p>
        </w:tc>
        <w:tc>
          <w:tcPr>
            <w:tcW w:w="1365" w:type="dxa"/>
            <w:vAlign w:val="top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0.11</w:t>
            </w:r>
          </w:p>
        </w:tc>
        <w:tc>
          <w:tcPr>
            <w:tcW w:w="2100" w:type="dxa"/>
          </w:tcPr>
          <w:p>
            <w:pPr>
              <w:jc w:val="center"/>
              <w:rPr>
                <w:rFonts w:hint="default" w:ascii="宋体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3.4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0" w:type="dxa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</w:rPr>
              <w:t>T</w:t>
            </w:r>
            <w:r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305" w:type="dxa"/>
            <w:vAlign w:val="top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0.661</w:t>
            </w:r>
          </w:p>
        </w:tc>
        <w:tc>
          <w:tcPr>
            <w:tcW w:w="1215" w:type="dxa"/>
            <w:vAlign w:val="top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4.54</w:t>
            </w:r>
          </w:p>
        </w:tc>
        <w:tc>
          <w:tcPr>
            <w:tcW w:w="1260" w:type="dxa"/>
            <w:vAlign w:val="top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3.14</w:t>
            </w:r>
          </w:p>
        </w:tc>
        <w:tc>
          <w:tcPr>
            <w:tcW w:w="1365" w:type="dxa"/>
            <w:vAlign w:val="top"/>
          </w:tcPr>
          <w:p>
            <w:pPr>
              <w:jc w:val="center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1.4</w:t>
            </w:r>
          </w:p>
        </w:tc>
        <w:tc>
          <w:tcPr>
            <w:tcW w:w="2100" w:type="dxa"/>
          </w:tcPr>
          <w:p>
            <w:pPr>
              <w:jc w:val="center"/>
              <w:rPr>
                <w:rFonts w:hint="default" w:ascii="宋体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3.1</w:t>
            </w:r>
          </w:p>
        </w:tc>
      </w:tr>
    </w:tbl>
    <w:p>
      <w:pPr>
        <w:numPr>
          <w:ilvl w:val="0"/>
          <w:numId w:val="6"/>
        </w:numPr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测试基本放大器的各项性能指标</w:t>
      </w:r>
    </w:p>
    <w:p>
      <w:pPr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    将实验电路按图6.2连接。</w:t>
      </w:r>
    </w:p>
    <w:p>
      <w:pPr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    （1）测量中频电压放大倍数</w:t>
      </w:r>
      <w:r>
        <w:rPr>
          <w:rFonts w:hint="eastAsia" w:ascii="宋体"/>
          <w:position w:val="-12"/>
          <w:sz w:val="24"/>
          <w:szCs w:val="24"/>
        </w:rPr>
        <w:object>
          <v:shape id="_x0000_i1062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3" ShapeID="_x0000_i1062" DrawAspect="Content" ObjectID="_1468075765" r:id="rId81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，输入电阻</w:t>
      </w:r>
      <w:r>
        <w:rPr>
          <w:position w:val="-12"/>
          <w:sz w:val="24"/>
          <w:szCs w:val="24"/>
        </w:rPr>
        <w:object>
          <v:shape id="_x0000_i1063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3" ShapeID="_x0000_i1063" DrawAspect="Content" ObjectID="_1468075766" r:id="rId83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和输出电阻</w:t>
      </w:r>
      <w:r>
        <w:rPr>
          <w:rFonts w:hint="eastAsia" w:ascii="宋体"/>
          <w:position w:val="-12"/>
          <w:sz w:val="24"/>
          <w:szCs w:val="24"/>
        </w:rPr>
        <w:object>
          <v:shape id="_x0000_i1064" o:spt="75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3" ShapeID="_x0000_i1064" DrawAspect="Content" ObjectID="_1468075767" r:id="rId85">
            <o:LockedField>false</o:LockedField>
          </o:OLEObject>
        </w:object>
      </w:r>
    </w:p>
    <w:p>
      <w:pPr>
        <w:ind w:firstLine="48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在上述静态条件下，保持</w:t>
      </w:r>
      <w:r>
        <w:rPr>
          <w:rFonts w:hint="eastAsia" w:ascii="宋体"/>
          <w:position w:val="-12"/>
          <w:sz w:val="24"/>
          <w:szCs w:val="24"/>
        </w:rPr>
        <w:object>
          <v:shape id="_x0000_i106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65" DrawAspect="Content" ObjectID="_1468075768" r:id="rId87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=1</w:t>
      </w:r>
      <w:r>
        <w:rPr>
          <w:position w:val="-6"/>
          <w:sz w:val="18"/>
          <w:szCs w:val="18"/>
        </w:rPr>
        <w:object>
          <v:shape id="_x0000_i1066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66" DrawAspect="Content" ObjectID="_1468075769" r:id="rId88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﹑</w:t>
      </w:r>
      <w:r>
        <w:rPr>
          <w:position w:val="-10"/>
          <w:szCs w:val="24"/>
        </w:rPr>
        <w:object>
          <v:shape id="_x0000_i1067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3" ShapeID="_x0000_i1067" DrawAspect="Content" ObjectID="_1468075770" r:id="rId89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=1</w:t>
      </w:r>
      <w:r>
        <w:rPr>
          <w:rFonts w:ascii="宋体"/>
          <w:position w:val="-6"/>
          <w:sz w:val="24"/>
          <w:szCs w:val="24"/>
        </w:rPr>
        <w:object>
          <v:shape id="_x0000_i1068" o:spt="75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68" DrawAspect="Content" ObjectID="_1468075771" r:id="rId91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不变，用交流毫伏表测量</w:t>
      </w:r>
      <w:r>
        <w:rPr>
          <w:position w:val="-12"/>
        </w:rPr>
        <w:object>
          <v:shape id="_x0000_i1069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69" DrawAspect="Content" ObjectID="_1468075772" r:id="rId92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﹑</w:t>
      </w:r>
      <w:r>
        <w:rPr>
          <w:rFonts w:hint="eastAsia" w:ascii="宋体"/>
          <w:position w:val="-12"/>
          <w:sz w:val="24"/>
          <w:szCs w:val="24"/>
        </w:rPr>
        <w:object>
          <v:shape id="_x0000_i1070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70" DrawAspect="Content" ObjectID="_1468075773" r:id="rId94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﹑</w:t>
      </w:r>
      <w:r>
        <w:rPr>
          <w:position w:val="-12"/>
        </w:rPr>
        <w:object>
          <v:shape id="_x0000_i1071" o:spt="75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71" DrawAspect="Content" ObjectID="_1468075774" r:id="rId95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及接上负载时的</w:t>
      </w:r>
      <w:r>
        <w:rPr>
          <w:position w:val="-12"/>
        </w:rPr>
        <w:object>
          <v:shape id="_x0000_i1072" o:spt="75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72" DrawAspect="Content" ObjectID="_1468075775" r:id="rId96">
            <o:LockedField>false</o:LockedField>
          </o:OLEObject>
        </w:object>
      </w:r>
      <w:r>
        <w:rPr>
          <w:rFonts w:hint="eastAsia" w:ascii="宋体"/>
          <w:sz w:val="24"/>
          <w:szCs w:val="24"/>
        </w:rPr>
        <w:t>的值，完成表6.2。</w:t>
      </w:r>
    </w:p>
    <w:p>
      <w:pPr>
        <w:ind w:firstLine="60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object>
          <v:shape id="_x0000_i1073" o:spt="75" type="#_x0000_t75" style="height:57.75pt;width:144.7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Unknown" ShapeID="_x0000_i1073" DrawAspect="Content" ObjectID="_1468075776" r:id="rId98">
            <o:LockedField>false</o:LockedField>
          </o:OLEObject>
        </w:object>
      </w:r>
      <w:r>
        <w:rPr>
          <w:rFonts w:hint="eastAsia"/>
          <w:sz w:val="24"/>
          <w:szCs w:val="24"/>
        </w:rPr>
        <w:t>Uo‘表示空载</w:t>
      </w:r>
    </w:p>
    <w:p>
      <w:pPr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表6.2</w:t>
      </w:r>
      <w:r>
        <w:rPr>
          <w:rFonts w:hint="eastAsia" w:ascii="宋体"/>
          <w:sz w:val="24"/>
          <w:szCs w:val="24"/>
        </w:rPr>
        <w:t>电压放大倍数，输入电阻和输出电阻测量数据记录表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044"/>
        <w:gridCol w:w="1056"/>
        <w:gridCol w:w="642"/>
        <w:gridCol w:w="849"/>
        <w:gridCol w:w="849"/>
        <w:gridCol w:w="849"/>
        <w:gridCol w:w="8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" w:type="dxa"/>
          </w:tcPr>
          <w:p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1044" w:type="dxa"/>
            <w:vAlign w:val="center"/>
          </w:tcPr>
          <w:p>
            <w:pPr>
              <w:pStyle w:val="3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position w:val="-12"/>
                <w:sz w:val="21"/>
              </w:rPr>
              <w:object>
                <v:shape id="_x0000_i1074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93" o:title=""/>
                  <o:lock v:ext="edit" aspectratio="t"/>
                  <w10:wrap type="none"/>
                  <w10:anchorlock/>
                </v:shape>
                <o:OLEObject Type="Embed" ProgID="Equation.3" ShapeID="_x0000_i1074" DrawAspect="Content" ObjectID="_1468075777" r:id="rId100">
                  <o:LockedField>false</o:LockedField>
                </o:OLEObject>
              </w:object>
            </w:r>
          </w:p>
          <w:p>
            <w:pPr>
              <w:pStyle w:val="3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position w:val="-6"/>
                <w:sz w:val="18"/>
                <w:szCs w:val="18"/>
              </w:rPr>
              <w:object>
                <v:shape id="_x0000_i1075" o:spt="75" type="#_x0000_t75" style="height:14.25pt;width:21.75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75" DrawAspect="Content" ObjectID="_1468075778" r:id="rId101">
                  <o:LockedField>false</o:LockedField>
                </o:OLEObject>
              </w:objec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56" w:type="dxa"/>
            <w:vAlign w:val="center"/>
          </w:tcPr>
          <w:p>
            <w:pPr>
              <w:jc w:val="center"/>
              <w:rPr>
                <w:rFonts w:hint="eastAsia" w:ascii="宋体"/>
                <w:sz w:val="18"/>
                <w:szCs w:val="18"/>
              </w:rPr>
            </w:pPr>
            <w:r>
              <w:rPr>
                <w:rFonts w:hint="eastAsia" w:ascii="宋体"/>
                <w:position w:val="-12"/>
                <w:sz w:val="24"/>
                <w:szCs w:val="24"/>
              </w:rPr>
              <w:object>
                <v:shape id="_x0000_i1076" o:spt="75" type="#_x0000_t75" style="height:18pt;width:15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3" ShapeID="_x0000_i1076" DrawAspect="Content" ObjectID="_1468075779" r:id="rId102">
                  <o:LockedField>false</o:LockedField>
                </o:OLEObject>
              </w:object>
            </w:r>
          </w:p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position w:val="-6"/>
                <w:sz w:val="18"/>
                <w:szCs w:val="18"/>
              </w:rPr>
              <w:object>
                <v:shape id="_x0000_i1077" o:spt="75" type="#_x0000_t75" style="height:14.25pt;width:21.75pt;" o:ole="t" filled="f" o:preferrelative="t" stroked="f" coordsize="21600,21600">
                  <v:path/>
                  <v:fill on="f" focussize="0,0"/>
                  <v:stroke on="f" joinstyle="miter"/>
                  <v:imagedata r:id="rId104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80" r:id="rId103">
                  <o:LockedField>false</o:LockedField>
                </o:OLEObject>
              </w:objec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42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78" o:spt="75" type="#_x0000_t75" style="height:18pt;width:21.75pt;" o:ole="t" filled="f" o:preferrelative="t" stroked="f" coordsize="21600,21600">
                  <v:path/>
                  <v:fill on="f" focussize="0,0"/>
                  <v:stroke on="f" joinstyle="miter"/>
                  <v:imagedata r:id="rId97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81" r:id="rId105">
                  <o:LockedField>false</o:LockedField>
                </o:OLEObject>
              </w:object>
            </w:r>
            <w:r>
              <w:rPr>
                <w:position w:val="-10"/>
                <w:sz w:val="24"/>
                <w:szCs w:val="24"/>
              </w:rPr>
              <w:object>
                <v:shape id="_x0000_i1079" o:spt="75" type="#_x0000_t75" style="height:15.75pt;width:20.25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82" r:id="rId106">
                  <o:LockedField>false</o:LockedField>
                </o:OLEObject>
              </w:object>
            </w:r>
          </w:p>
        </w:tc>
        <w:tc>
          <w:tcPr>
            <w:tcW w:w="849" w:type="dxa"/>
            <w:vAlign w:val="center"/>
          </w:tcPr>
          <w:p>
            <w:pPr>
              <w:jc w:val="center"/>
              <w:rPr>
                <w:rFonts w:hint="eastAsia" w:ascii="宋体"/>
                <w:sz w:val="18"/>
                <w:szCs w:val="18"/>
              </w:rPr>
            </w:pPr>
            <w:r>
              <w:rPr>
                <w:position w:val="-12"/>
              </w:rPr>
              <w:object>
                <v:shape id="_x0000_i1080" o:spt="75" type="#_x0000_t75" style="height:18pt;width:15.75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83" r:id="rId107">
                  <o:LockedField>false</o:LockedField>
                </o:OLEObject>
              </w:object>
            </w:r>
          </w:p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position w:val="-10"/>
                <w:sz w:val="24"/>
                <w:szCs w:val="24"/>
              </w:rPr>
              <w:object>
                <v:shape id="_x0000_i1081" o:spt="75" type="#_x0000_t75" style="height:15.75pt;width:20.25pt;" o:ole="t" filled="f" o:preferrelative="t" stroked="f" coordsize="21600,21600">
                  <v:path/>
                  <v:fill on="f" focussize="0,0"/>
                  <v:stroke on="f" joinstyle="miter"/>
                  <v:imagedata r:id="rId70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84" r:id="rId108">
                  <o:LockedField>false</o:LockedField>
                </o:OLEObject>
              </w:object>
            </w:r>
          </w:p>
        </w:tc>
        <w:tc>
          <w:tcPr>
            <w:tcW w:w="849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/>
                <w:position w:val="-14"/>
                <w:sz w:val="18"/>
                <w:szCs w:val="18"/>
              </w:rPr>
              <w:object>
                <v:shape id="_x0000_i1082" o:spt="75" type="#_x0000_t75" style="height:19.5pt;width:24pt;" o:ole="t" filled="f" o:preferrelative="t" stroked="f" coordsize="21600,21600">
                  <v:path/>
                  <v:fill on="f" focussize="0,0"/>
                  <v:stroke on="f" joinstyle="miter"/>
                  <v:imagedata r:id="rId110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85" r:id="rId109">
                  <o:LockedField>false</o:LockedField>
                </o:OLEObject>
              </w:object>
            </w:r>
          </w:p>
        </w:tc>
        <w:tc>
          <w:tcPr>
            <w:tcW w:w="849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position w:val="-14"/>
                <w:sz w:val="18"/>
                <w:szCs w:val="18"/>
              </w:rPr>
              <w:object>
                <v:shape id="_x0000_i1083" o:spt="75" type="#_x0000_t75" style="height:18.75pt;width:25.5pt;" o:ole="t" filled="f" o:preferrelative="t" stroked="f" coordsize="21600,21600">
                  <v:path/>
                  <v:fill on="f" focussize="0,0"/>
                  <v:stroke on="f" joinstyle="miter"/>
                  <v:imagedata r:id="rId112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86" r:id="rId111">
                  <o:LockedField>false</o:LockedField>
                </o:OLEObject>
              </w:object>
            </w:r>
          </w:p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ascii="宋体"/>
                <w:position w:val="-6"/>
                <w:sz w:val="18"/>
                <w:szCs w:val="18"/>
              </w:rPr>
              <w:object>
                <v:shape id="_x0000_i1084" o:spt="75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114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87" r:id="rId113">
                  <o:LockedField>false</o:LockedField>
                </o:OLEObject>
              </w:object>
            </w:r>
            <w:r>
              <w:rPr>
                <w:rFonts w:hint="eastAsia" w:ascii="宋体"/>
                <w:sz w:val="18"/>
                <w:szCs w:val="18"/>
              </w:rPr>
              <w:t>）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/>
                <w:position w:val="-14"/>
                <w:sz w:val="18"/>
                <w:szCs w:val="18"/>
              </w:rPr>
              <w:object>
                <v:shape id="_x0000_i1085" o:spt="75" type="#_x0000_t75" style="height:18.75pt;width:36.75pt;" o:ole="t" filled="f" o:preferrelative="t" stroked="f" coordsize="21600,21600">
                  <v:path/>
                  <v:fill on="f" focussize="0,0"/>
                  <v:stroke on="f" joinstyle="miter"/>
                  <v:imagedata r:id="rId116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788" r:id="rId115">
                  <o:LockedField>false</o:LockedField>
                </o:OLEObject>
              </w:object>
            </w:r>
            <w:r>
              <w:rPr>
                <w:rFonts w:hint="eastAsia" w:ascii="宋体"/>
                <w:sz w:val="18"/>
                <w:szCs w:val="18"/>
              </w:rPr>
              <w:t>（</w:t>
            </w:r>
            <w:r>
              <w:rPr>
                <w:rFonts w:ascii="宋体"/>
                <w:position w:val="-6"/>
                <w:sz w:val="18"/>
                <w:szCs w:val="18"/>
              </w:rPr>
              <w:object>
                <v:shape id="_x0000_i1086" o:spt="75" type="#_x0000_t75" style="height:14.25pt;width:18pt;" o:ole="t" filled="f" o:preferrelative="t" stroked="f" coordsize="21600,21600">
                  <v:path/>
                  <v:fill on="f" focussize="0,0"/>
                  <v:stroke on="f" joinstyle="miter"/>
                  <v:imagedata r:id="rId118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789" r:id="rId117">
                  <o:LockedField>false</o:LockedField>
                </o:OLEObject>
              </w:object>
            </w:r>
            <w:r>
              <w:rPr>
                <w:rFonts w:hint="eastAsia" w:ascii="宋体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  本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放大器</w:t>
            </w:r>
          </w:p>
        </w:tc>
        <w:tc>
          <w:tcPr>
            <w:tcW w:w="1044" w:type="dxa"/>
            <w:vAlign w:val="top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48.4</w:t>
            </w:r>
          </w:p>
        </w:tc>
        <w:tc>
          <w:tcPr>
            <w:tcW w:w="1056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42" w:type="dxa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0.219</w:t>
            </w:r>
          </w:p>
        </w:tc>
        <w:tc>
          <w:tcPr>
            <w:tcW w:w="849" w:type="dxa"/>
            <w:vAlign w:val="top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0.319</w:t>
            </w:r>
          </w:p>
        </w:tc>
        <w:tc>
          <w:tcPr>
            <w:tcW w:w="849" w:type="dxa"/>
            <w:vAlign w:val="top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219</w:t>
            </w:r>
          </w:p>
        </w:tc>
        <w:tc>
          <w:tcPr>
            <w:tcW w:w="849" w:type="dxa"/>
            <w:vAlign w:val="top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0.22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1.096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负反馈放大器</w:t>
            </w:r>
          </w:p>
        </w:tc>
        <w:tc>
          <w:tcPr>
            <w:tcW w:w="1044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24.9</w:t>
            </w:r>
          </w:p>
        </w:tc>
        <w:tc>
          <w:tcPr>
            <w:tcW w:w="1056" w:type="dxa"/>
            <w:vAlign w:val="center"/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642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0.061</w:t>
            </w:r>
          </w:p>
        </w:tc>
        <w:tc>
          <w:tcPr>
            <w:tcW w:w="849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0.069</w:t>
            </w:r>
          </w:p>
        </w:tc>
        <w:tc>
          <w:tcPr>
            <w:tcW w:w="849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41</w:t>
            </w:r>
          </w:p>
        </w:tc>
        <w:tc>
          <w:tcPr>
            <w:tcW w:w="849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0.57</w:t>
            </w:r>
          </w:p>
        </w:tc>
        <w:tc>
          <w:tcPr>
            <w:tcW w:w="850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0.196</w:t>
            </w:r>
          </w:p>
        </w:tc>
      </w:tr>
    </w:tbl>
    <w:p>
      <w:pPr>
        <w:rPr>
          <w:rFonts w:ascii="宋体" w:hAnsi="Times New Roman" w:eastAsia="宋体" w:cs="Times New Roman"/>
          <w:b/>
          <w:sz w:val="24"/>
          <w:szCs w:val="24"/>
        </w:rPr>
      </w:pPr>
    </w:p>
    <w:p>
      <w:pPr>
        <w:rPr>
          <w:rFonts w:ascii="宋体" w:hAnsi="Times New Roman" w:eastAsia="宋体" w:cs="Times New Roman"/>
          <w:b/>
          <w:sz w:val="24"/>
          <w:szCs w:val="24"/>
        </w:rPr>
      </w:pPr>
      <w:r>
        <w:rPr>
          <w:rFonts w:hint="eastAsia" w:ascii="宋体" w:hAnsi="Times New Roman" w:eastAsia="宋体" w:cs="Times New Roman"/>
          <w:b/>
          <w:sz w:val="24"/>
          <w:szCs w:val="24"/>
        </w:rPr>
        <w:t>五、实验原理图/实物图</w:t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</w:pPr>
      <w:r>
        <w:drawing>
          <wp:inline distT="0" distB="0" distL="114300" distR="114300">
            <wp:extent cx="4885055" cy="2707005"/>
            <wp:effectExtent l="0" t="0" r="6985" b="5715"/>
            <wp:docPr id="7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4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22520" cy="2395855"/>
            <wp:effectExtent l="0" t="0" r="0" b="12065"/>
            <wp:docPr id="2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19345" cy="3131185"/>
            <wp:effectExtent l="0" t="0" r="3175" b="8255"/>
            <wp:docPr id="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5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53000" cy="2647315"/>
            <wp:effectExtent l="0" t="0" r="0" b="4445"/>
            <wp:docPr id="1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3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rPr>
          <w:rFonts w:hint="eastAsia"/>
        </w:rPr>
      </w:pPr>
      <w:r>
        <w:drawing>
          <wp:inline distT="0" distB="0" distL="114300" distR="114300">
            <wp:extent cx="4966970" cy="2523490"/>
            <wp:effectExtent l="0" t="0" r="1270" b="6350"/>
            <wp:docPr id="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4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2268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single" w:color="auto" w:sz="6" w:space="2"/>
      </w:pBdr>
      <w:ind w:firstLine="883"/>
      <w:rPr>
        <w:rFonts w:hint="eastAsia"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56E96"/>
    <w:multiLevelType w:val="multilevel"/>
    <w:tmpl w:val="00056E96"/>
    <w:lvl w:ilvl="0" w:tentative="0">
      <w:start w:val="1"/>
      <w:numFmt w:val="decimal"/>
      <w:lvlText w:val="（%1）"/>
      <w:lvlJc w:val="left"/>
      <w:pPr>
        <w:tabs>
          <w:tab w:val="left" w:pos="1068"/>
        </w:tabs>
        <w:ind w:left="1068" w:hanging="456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1C373D1"/>
    <w:multiLevelType w:val="multilevel"/>
    <w:tmpl w:val="21C373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4BB10A4F"/>
    <w:multiLevelType w:val="multilevel"/>
    <w:tmpl w:val="4BB10A4F"/>
    <w:lvl w:ilvl="0" w:tentative="0">
      <w:start w:val="1"/>
      <w:numFmt w:val="decimal"/>
      <w:lvlText w:val="%1．"/>
      <w:lvlJc w:val="left"/>
      <w:pPr>
        <w:tabs>
          <w:tab w:val="left" w:pos="1320"/>
        </w:tabs>
        <w:ind w:left="1320" w:hanging="72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abstractNum w:abstractNumId="3">
    <w:nsid w:val="55224297"/>
    <w:multiLevelType w:val="singleLevel"/>
    <w:tmpl w:val="55224297"/>
    <w:lvl w:ilvl="0" w:tentative="0">
      <w:start w:val="1"/>
      <w:numFmt w:val="decimal"/>
      <w:lvlText w:val="%1."/>
      <w:lvlJc w:val="left"/>
      <w:pPr>
        <w:tabs>
          <w:tab w:val="left" w:pos="912"/>
        </w:tabs>
        <w:ind w:left="912" w:hanging="312"/>
      </w:pPr>
      <w:rPr>
        <w:rFonts w:hint="eastAsia" w:ascii="宋体" w:hAnsi="宋体" w:eastAsia="宋体"/>
      </w:rPr>
    </w:lvl>
  </w:abstractNum>
  <w:abstractNum w:abstractNumId="4">
    <w:nsid w:val="6121022F"/>
    <w:multiLevelType w:val="multilevel"/>
    <w:tmpl w:val="6121022F"/>
    <w:lvl w:ilvl="0" w:tentative="0">
      <w:start w:val="2"/>
      <w:numFmt w:val="decimal"/>
      <w:lvlText w:val="%1．"/>
      <w:lvlJc w:val="left"/>
      <w:pPr>
        <w:tabs>
          <w:tab w:val="left" w:pos="960"/>
        </w:tabs>
        <w:ind w:left="9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abstractNum w:abstractNumId="5">
    <w:nsid w:val="7FC801B6"/>
    <w:multiLevelType w:val="singleLevel"/>
    <w:tmpl w:val="7FC801B6"/>
    <w:lvl w:ilvl="0" w:tentative="0">
      <w:start w:val="1"/>
      <w:numFmt w:val="decimal"/>
      <w:lvlText w:val="%1."/>
      <w:lvlJc w:val="left"/>
      <w:pPr>
        <w:tabs>
          <w:tab w:val="left" w:pos="912"/>
        </w:tabs>
        <w:ind w:left="912" w:hanging="312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mMDEyZGY2ZDNhYzkyMDExYzlhMzJjMjc3NzVkNzYifQ=="/>
    <w:docVar w:name="KSO_WPS_MARK_KEY" w:val="92aeb4fc-ca0f-45ed-b70e-09bbfa11a83f"/>
  </w:docVars>
  <w:rsids>
    <w:rsidRoot w:val="00163296"/>
    <w:rsid w:val="00094E98"/>
    <w:rsid w:val="000C3782"/>
    <w:rsid w:val="001038EF"/>
    <w:rsid w:val="00111794"/>
    <w:rsid w:val="00121221"/>
    <w:rsid w:val="00126C5F"/>
    <w:rsid w:val="00147F25"/>
    <w:rsid w:val="00163296"/>
    <w:rsid w:val="001A33E8"/>
    <w:rsid w:val="00292D07"/>
    <w:rsid w:val="00301680"/>
    <w:rsid w:val="0036022D"/>
    <w:rsid w:val="0038045C"/>
    <w:rsid w:val="003A1906"/>
    <w:rsid w:val="003D2994"/>
    <w:rsid w:val="0041345D"/>
    <w:rsid w:val="00420B8C"/>
    <w:rsid w:val="00475F22"/>
    <w:rsid w:val="004D0C0C"/>
    <w:rsid w:val="00531D97"/>
    <w:rsid w:val="005763A6"/>
    <w:rsid w:val="005E6361"/>
    <w:rsid w:val="0060697D"/>
    <w:rsid w:val="00607847"/>
    <w:rsid w:val="00610E11"/>
    <w:rsid w:val="006515F4"/>
    <w:rsid w:val="00652D80"/>
    <w:rsid w:val="00671785"/>
    <w:rsid w:val="006B6DF7"/>
    <w:rsid w:val="006B75B1"/>
    <w:rsid w:val="006F671F"/>
    <w:rsid w:val="007176C0"/>
    <w:rsid w:val="007367B5"/>
    <w:rsid w:val="00737215"/>
    <w:rsid w:val="007475C1"/>
    <w:rsid w:val="00812B02"/>
    <w:rsid w:val="008D41B5"/>
    <w:rsid w:val="008E6F18"/>
    <w:rsid w:val="00955330"/>
    <w:rsid w:val="00A2057A"/>
    <w:rsid w:val="00A93EBC"/>
    <w:rsid w:val="00AF062F"/>
    <w:rsid w:val="00AF79FA"/>
    <w:rsid w:val="00B529B6"/>
    <w:rsid w:val="00B924B4"/>
    <w:rsid w:val="00BB0E62"/>
    <w:rsid w:val="00BD1764"/>
    <w:rsid w:val="00BF75F2"/>
    <w:rsid w:val="00D041D1"/>
    <w:rsid w:val="00D605BA"/>
    <w:rsid w:val="00D60715"/>
    <w:rsid w:val="00E00721"/>
    <w:rsid w:val="00E040C5"/>
    <w:rsid w:val="00E50957"/>
    <w:rsid w:val="00E57603"/>
    <w:rsid w:val="00E6560A"/>
    <w:rsid w:val="00E71F6A"/>
    <w:rsid w:val="00E84F21"/>
    <w:rsid w:val="00E956A0"/>
    <w:rsid w:val="00EA1148"/>
    <w:rsid w:val="00EB0D66"/>
    <w:rsid w:val="00EC6CDF"/>
    <w:rsid w:val="00F13B9D"/>
    <w:rsid w:val="00F85278"/>
    <w:rsid w:val="00FB4F64"/>
    <w:rsid w:val="0B0C17F8"/>
    <w:rsid w:val="1C7842B6"/>
    <w:rsid w:val="24A22BE6"/>
    <w:rsid w:val="3ACC531E"/>
    <w:rsid w:val="58824ECE"/>
    <w:rsid w:val="62794D9B"/>
    <w:rsid w:val="64923FB9"/>
    <w:rsid w:val="7CBB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outlineLvl w:val="0"/>
    </w:pPr>
    <w:rPr>
      <w:rFonts w:ascii="宋体" w:hAnsi="Times New Roman" w:eastAsia="宋体" w:cs="Times New Roman"/>
      <w:sz w:val="30"/>
      <w:szCs w:val="20"/>
    </w:rPr>
  </w:style>
  <w:style w:type="paragraph" w:styleId="3">
    <w:name w:val="heading 2"/>
    <w:basedOn w:val="1"/>
    <w:next w:val="4"/>
    <w:link w:val="19"/>
    <w:qFormat/>
    <w:uiPriority w:val="0"/>
    <w:pPr>
      <w:keepNext/>
      <w:outlineLvl w:val="1"/>
    </w:pPr>
    <w:rPr>
      <w:rFonts w:ascii="Times New Roman" w:hAnsi="Times New Roman" w:eastAsia="宋体" w:cs="Times New Roman"/>
      <w:sz w:val="28"/>
      <w:szCs w:val="20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semiHidden/>
    <w:unhideWhenUsed/>
    <w:qFormat/>
    <w:uiPriority w:val="99"/>
    <w:pPr>
      <w:ind w:firstLine="420" w:firstLineChars="200"/>
    </w:p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1"/>
    <w:qFormat/>
    <w:uiPriority w:val="0"/>
    <w:pPr>
      <w:ind w:left="200" w:hanging="200" w:hangingChars="200"/>
    </w:pPr>
    <w:rPr>
      <w:rFonts w:ascii="Times New Roman" w:hAnsi="Times New Roman" w:eastAsia="宋体" w:cs="Times New Roman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10"/>
    <w:link w:val="5"/>
    <w:qFormat/>
    <w:uiPriority w:val="99"/>
    <w:rPr>
      <w:sz w:val="18"/>
      <w:szCs w:val="18"/>
    </w:rPr>
  </w:style>
  <w:style w:type="paragraph" w:customStyle="1" w:styleId="13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  <w:rPr>
      <w:rFonts w:ascii="Times New Roman" w:hAnsi="Times New Roman" w:eastAsia="宋体" w:cs="Times New Roman"/>
      <w:szCs w:val="20"/>
    </w:rPr>
  </w:style>
  <w:style w:type="paragraph" w:customStyle="1" w:styleId="14">
    <w:name w:val="程序"/>
    <w:basedOn w:val="1"/>
    <w:link w:val="16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eastAsia="宋体" w:cs="Courier New"/>
      <w:sz w:val="18"/>
      <w:szCs w:val="20"/>
    </w:rPr>
  </w:style>
  <w:style w:type="paragraph" w:customStyle="1" w:styleId="15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 w:cs="Times New Roman"/>
      <w:szCs w:val="20"/>
    </w:rPr>
  </w:style>
  <w:style w:type="character" w:customStyle="1" w:styleId="16">
    <w:name w:val="程序 Char"/>
    <w:link w:val="14"/>
    <w:qFormat/>
    <w:uiPriority w:val="0"/>
    <w:rPr>
      <w:rFonts w:ascii="Courier New" w:hAnsi="Courier New" w:eastAsia="宋体" w:cs="Courier New"/>
      <w:sz w:val="18"/>
      <w:szCs w:val="2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1 字符"/>
    <w:basedOn w:val="10"/>
    <w:link w:val="2"/>
    <w:qFormat/>
    <w:uiPriority w:val="0"/>
    <w:rPr>
      <w:rFonts w:ascii="宋体" w:hAnsi="Times New Roman" w:eastAsia="宋体" w:cs="Times New Roman"/>
      <w:sz w:val="30"/>
      <w:szCs w:val="20"/>
    </w:rPr>
  </w:style>
  <w:style w:type="character" w:customStyle="1" w:styleId="19">
    <w:name w:val="标题 2 字符"/>
    <w:basedOn w:val="10"/>
    <w:link w:val="3"/>
    <w:qFormat/>
    <w:uiPriority w:val="0"/>
    <w:rPr>
      <w:rFonts w:ascii="Times New Roman" w:hAnsi="Times New Roman" w:eastAsia="宋体" w:cs="Times New Roman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3.emf"/><Relationship Id="rId98" Type="http://schemas.openxmlformats.org/officeDocument/2006/relationships/oleObject" Target="embeddings/oleObject52.bin"/><Relationship Id="rId97" Type="http://schemas.openxmlformats.org/officeDocument/2006/relationships/image" Target="media/image42.wmf"/><Relationship Id="rId96" Type="http://schemas.openxmlformats.org/officeDocument/2006/relationships/oleObject" Target="embeddings/oleObject51.bin"/><Relationship Id="rId95" Type="http://schemas.openxmlformats.org/officeDocument/2006/relationships/oleObject" Target="embeddings/oleObject50.bin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oleObject" Target="embeddings/oleObject47.bin"/><Relationship Id="rId90" Type="http://schemas.openxmlformats.org/officeDocument/2006/relationships/image" Target="media/image40.wmf"/><Relationship Id="rId9" Type="http://schemas.openxmlformats.org/officeDocument/2006/relationships/image" Target="media/image3.wmf"/><Relationship Id="rId89" Type="http://schemas.openxmlformats.org/officeDocument/2006/relationships/oleObject" Target="embeddings/oleObject46.bin"/><Relationship Id="rId88" Type="http://schemas.openxmlformats.org/officeDocument/2006/relationships/oleObject" Target="embeddings/oleObject45.bin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6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0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9.bin"/><Relationship Id="rId76" Type="http://schemas.openxmlformats.org/officeDocument/2006/relationships/oleObject" Target="embeddings/oleObject38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7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2.wmf"/><Relationship Id="rId5" Type="http://schemas.openxmlformats.org/officeDocument/2006/relationships/image" Target="media/image1.png"/><Relationship Id="rId49" Type="http://schemas.openxmlformats.org/officeDocument/2006/relationships/oleObject" Target="embeddings/oleObject24.bin"/><Relationship Id="rId48" Type="http://schemas.openxmlformats.org/officeDocument/2006/relationships/oleObject" Target="embeddings/oleObject23.bin"/><Relationship Id="rId47" Type="http://schemas.openxmlformats.org/officeDocument/2006/relationships/oleObject" Target="embeddings/oleObject22.bin"/><Relationship Id="rId46" Type="http://schemas.openxmlformats.org/officeDocument/2006/relationships/image" Target="media/image21.png"/><Relationship Id="rId45" Type="http://schemas.openxmlformats.org/officeDocument/2006/relationships/oleObject" Target="embeddings/oleObject21.bin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8.bin"/><Relationship Id="rId4" Type="http://schemas.openxmlformats.org/officeDocument/2006/relationships/theme" Target="theme/theme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7" Type="http://schemas.openxmlformats.org/officeDocument/2006/relationships/fontTable" Target="fontTable.xml"/><Relationship Id="rId126" Type="http://schemas.openxmlformats.org/officeDocument/2006/relationships/customXml" Target="../customXml/item2.xml"/><Relationship Id="rId125" Type="http://schemas.openxmlformats.org/officeDocument/2006/relationships/numbering" Target="numbering.xml"/><Relationship Id="rId124" Type="http://schemas.openxmlformats.org/officeDocument/2006/relationships/customXml" Target="../customXml/item1.xml"/><Relationship Id="rId123" Type="http://schemas.openxmlformats.org/officeDocument/2006/relationships/image" Target="media/image54.png"/><Relationship Id="rId122" Type="http://schemas.openxmlformats.org/officeDocument/2006/relationships/image" Target="media/image53.png"/><Relationship Id="rId121" Type="http://schemas.openxmlformats.org/officeDocument/2006/relationships/image" Target="media/image52.png"/><Relationship Id="rId120" Type="http://schemas.openxmlformats.org/officeDocument/2006/relationships/image" Target="media/image51.png"/><Relationship Id="rId12" Type="http://schemas.openxmlformats.org/officeDocument/2006/relationships/oleObject" Target="embeddings/oleObject4.bin"/><Relationship Id="rId119" Type="http://schemas.openxmlformats.org/officeDocument/2006/relationships/image" Target="media/image50.png"/><Relationship Id="rId118" Type="http://schemas.openxmlformats.org/officeDocument/2006/relationships/image" Target="media/image49.wmf"/><Relationship Id="rId117" Type="http://schemas.openxmlformats.org/officeDocument/2006/relationships/oleObject" Target="embeddings/oleObject65.bin"/><Relationship Id="rId116" Type="http://schemas.openxmlformats.org/officeDocument/2006/relationships/image" Target="media/image48.wmf"/><Relationship Id="rId115" Type="http://schemas.openxmlformats.org/officeDocument/2006/relationships/oleObject" Target="embeddings/oleObject64.bin"/><Relationship Id="rId114" Type="http://schemas.openxmlformats.org/officeDocument/2006/relationships/image" Target="media/image47.wmf"/><Relationship Id="rId113" Type="http://schemas.openxmlformats.org/officeDocument/2006/relationships/oleObject" Target="embeddings/oleObject63.bin"/><Relationship Id="rId112" Type="http://schemas.openxmlformats.org/officeDocument/2006/relationships/image" Target="media/image46.wmf"/><Relationship Id="rId111" Type="http://schemas.openxmlformats.org/officeDocument/2006/relationships/oleObject" Target="embeddings/oleObject62.bin"/><Relationship Id="rId110" Type="http://schemas.openxmlformats.org/officeDocument/2006/relationships/image" Target="media/image45.wmf"/><Relationship Id="rId11" Type="http://schemas.openxmlformats.org/officeDocument/2006/relationships/image" Target="media/image4.wmf"/><Relationship Id="rId109" Type="http://schemas.openxmlformats.org/officeDocument/2006/relationships/oleObject" Target="embeddings/oleObject61.bin"/><Relationship Id="rId108" Type="http://schemas.openxmlformats.org/officeDocument/2006/relationships/oleObject" Target="embeddings/oleObject60.bin"/><Relationship Id="rId107" Type="http://schemas.openxmlformats.org/officeDocument/2006/relationships/oleObject" Target="embeddings/oleObject59.bin"/><Relationship Id="rId106" Type="http://schemas.openxmlformats.org/officeDocument/2006/relationships/oleObject" Target="embeddings/oleObject58.bin"/><Relationship Id="rId105" Type="http://schemas.openxmlformats.org/officeDocument/2006/relationships/oleObject" Target="embeddings/oleObject57.bin"/><Relationship Id="rId104" Type="http://schemas.openxmlformats.org/officeDocument/2006/relationships/image" Target="media/image44.wmf"/><Relationship Id="rId103" Type="http://schemas.openxmlformats.org/officeDocument/2006/relationships/oleObject" Target="embeddings/oleObject56.bin"/><Relationship Id="rId102" Type="http://schemas.openxmlformats.org/officeDocument/2006/relationships/oleObject" Target="embeddings/oleObject55.bin"/><Relationship Id="rId101" Type="http://schemas.openxmlformats.org/officeDocument/2006/relationships/oleObject" Target="embeddings/oleObject54.bin"/><Relationship Id="rId100" Type="http://schemas.openxmlformats.org/officeDocument/2006/relationships/oleObject" Target="embeddings/oleObject53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61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1A2B5E-E059-4C67-989A-89CF2BCB30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1141</Words>
  <Characters>1241</Characters>
  <Lines>20</Lines>
  <Paragraphs>5</Paragraphs>
  <TotalTime>50</TotalTime>
  <ScaleCrop>false</ScaleCrop>
  <LinksUpToDate>false</LinksUpToDate>
  <CharactersWithSpaces>1438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2024-10-14T13:48:00Z</dcterms:created>
  <dc:creator>Yawei Pang</dc:creator>
  <cp:lastModifiedBy>15532</cp:lastModifiedBy>
  <dcterms:modified xsi:type="dcterms:W3CDTF">2024-11-28T13:49:02Z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1809D248EFA34770A9FB0B45EAFC751A</vt:lpwstr>
  </property>
</Properties>
</file>