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mbria" w:cs="Cambria" w:eastAsia="Cambria" w:hAnsi="Cambria"/>
          <w:b/>
          <w:bCs/>
          <w:color w:val="1F3864"/>
          <w:sz w:val="56"/>
          <w:szCs w:val="56"/>
        </w:rPr>
        <w:t xml:space="preserve">OLIST BUSINESS DISCOVERY</w:t>
      </w:r>
    </w:p>
    <w:p>
      <w:pPr>
        <w:pBdr>
          <w:bottom w:val="single" w:color="2E75B6" w:sz="10" w:space="14"/>
        </w:pBdr>
        <w:spacing w:after="500" w:before="200"/>
        <w:jc w:val="center"/>
      </w:pPr>
      <w:r>
        <w:rPr>
          <w:rFonts w:ascii="Cambria" w:cs="Cambria" w:eastAsia="Cambria" w:hAnsi="Cambria"/>
          <w:color w:val="2E75B6"/>
          <w:sz w:val="26"/>
          <w:szCs w:val="26"/>
        </w:rPr>
        <w:t xml:space="preserve">HVIA Data &amp; AI Solutions Internship — Task 01</w:t>
      </w:r>
    </w:p>
    <w:p>
      <w:pPr>
        <w:spacing w:after="60"/>
        <w:jc w:val="center"/>
      </w:pPr>
      <w:r>
        <w:rPr>
          <w:rFonts w:ascii="Calibri" w:cs="Calibri" w:eastAsia="Calibri" w:hAnsi="Calibri"/>
          <w:color w:val="333333"/>
          <w:sz w:val="22"/>
          <w:szCs w:val="22"/>
        </w:rPr>
        <w:t xml:space="preserve">Prepared by Wassim Elshamy</w:t>
      </w:r>
    </w:p>
    <w:p>
      <w:pPr>
        <w:spacing w:before="900"/>
      </w:pPr>
    </w:p>
    <w:tbl>
      <w:tblPr>
        <w:tblW w:type="dxa" w:w="9026"/>
        <w:tblBorders>
          <w:top w:val="single" w:color="2E75B6" w:sz="4"/>
          <w:left w:val="single" w:color="2E75B6" w:sz="28"/>
          <w:bottom w:val="single" w:color="2E75B6" w:sz="4"/>
          <w:right w:val="single" w:color="2E75B6" w:sz="4"/>
          <w:insideH w:val="single" w:color="auto" w:sz="4"/>
          <w:insideV w:val="single" w:color="auto" w:sz="4"/>
        </w:tblBorders>
      </w:tblPr>
      <w:tblGrid>
        <w:gridCol w:w="9026"/>
      </w:tblGrid>
      <w:tr>
        <w:tc>
          <w:tcPr>
            <w:tcW w:type="dxa" w:w="9026"/>
            <w:shd w:fill="EAF0FA" w:color="auto" w:val="clear"/>
            <w:tcMar>
              <w:top w:type="dxa" w:w="160"/>
              <w:left w:type="dxa" w:w="240"/>
              <w:bottom w:type="dxa" w:w="160"/>
              <w:right w:type="dxa" w:w="240"/>
            </w:tcMar>
          </w:tcPr>
          <w:p>
            <w:pPr>
              <w:spacing w:after="60"/>
            </w:pPr>
            <w:r>
              <w:rPr>
                <w:rFonts w:ascii="Calibri" w:cs="Calibri" w:eastAsia="Calibri" w:hAnsi="Calibri"/>
                <w:b/>
                <w:bCs/>
                <w:i w:val="false"/>
                <w:iCs w:val="false"/>
                <w:color w:val="1F3864"/>
                <w:sz w:val="20"/>
                <w:szCs w:val="20"/>
              </w:rPr>
              <w:t xml:space="preserve">Purpose</w:t>
            </w:r>
          </w:p>
          <w:p>
            <w:pPr>
              <w:spacing w:after="60"/>
            </w:pPr>
            <w:r>
              <w:rPr>
                <w:rFonts w:ascii="Calibri" w:cs="Calibri" w:eastAsia="Calibri" w:hAnsi="Calibri"/>
                <w:b w:val="false"/>
                <w:bCs w:val="false"/>
                <w:i/>
                <w:iCs/>
                <w:color w:val="333333"/>
                <w:sz w:val="21"/>
                <w:szCs w:val="21"/>
              </w:rPr>
              <w:t xml:space="preserve">Understand Olist, analyze the public e-commerce dataset, identify business frictions, and propose a practical HVIA solution.</w:t>
            </w:r>
          </w:p>
        </w:tc>
      </w:tr>
    </w:tbl>
    <w:p>
      <w:r>
        <w:br w:type="page"/>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1. Executive Summary</w:t>
      </w:r>
    </w:p>
    <w:p>
      <w:pPr>
        <w:pStyle w:val="ListParagraph"/>
        <w:numPr>
          <w:ilvl w:val="0"/>
          <w:numId w:val="2"/>
        </w:numPr>
        <w:spacing w:after="90" w:line="264"/>
      </w:pPr>
      <w:r>
        <w:rPr>
          <w:rFonts w:ascii="Calibri" w:cs="Calibri" w:eastAsia="Calibri" w:hAnsi="Calibri"/>
          <w:color w:val="222222"/>
          <w:sz w:val="22"/>
          <w:szCs w:val="22"/>
        </w:rPr>
        <w:t xml:space="preserve">Olist is a Brazilian retail technology company that helps sellers operate online through a connected ecosystem of marketplaces, e-commerce tools, logistics, payments, and business services.</w:t>
      </w:r>
    </w:p>
    <w:p>
      <w:pPr>
        <w:pStyle w:val="ListParagraph"/>
        <w:numPr>
          <w:ilvl w:val="0"/>
          <w:numId w:val="2"/>
        </w:numPr>
        <w:spacing w:after="90" w:line="264"/>
      </w:pPr>
      <w:r>
        <w:rPr>
          <w:rFonts w:ascii="Calibri" w:cs="Calibri" w:eastAsia="Calibri" w:hAnsi="Calibri"/>
          <w:color w:val="222222"/>
          <w:sz w:val="22"/>
          <w:szCs w:val="22"/>
        </w:rPr>
        <w:t xml:space="preserve">The dataset contains 99,441 orders from 2016-09-04 to 2018-10-17; 96,478 orders were delivered.</w:t>
      </w:r>
    </w:p>
    <w:p>
      <w:pPr>
        <w:pStyle w:val="ListParagraph"/>
        <w:numPr>
          <w:ilvl w:val="0"/>
          <w:numId w:val="2"/>
        </w:numPr>
        <w:spacing w:after="90" w:line="264"/>
      </w:pPr>
      <w:r>
        <w:rPr>
          <w:rFonts w:ascii="Calibri" w:cs="Calibri" w:eastAsia="Calibri" w:hAnsi="Calibri"/>
          <w:color w:val="222222"/>
          <w:sz w:val="22"/>
          <w:szCs w:val="22"/>
        </w:rPr>
        <w:t xml:space="preserve">The strongest business pattern found is the connection between delivery performance and customer satisfaction.</w:t>
      </w:r>
    </w:p>
    <w:p>
      <w:pPr>
        <w:pStyle w:val="ListParagraph"/>
        <w:numPr>
          <w:ilvl w:val="0"/>
          <w:numId w:val="2"/>
        </w:numPr>
        <w:spacing w:after="90" w:line="264"/>
      </w:pPr>
      <w:r>
        <w:rPr>
          <w:rFonts w:ascii="Calibri" w:cs="Calibri" w:eastAsia="Calibri" w:hAnsi="Calibri"/>
          <w:color w:val="222222"/>
          <w:sz w:val="22"/>
          <w:szCs w:val="22"/>
        </w:rPr>
        <w:t xml:space="preserve">Late delivered orders had an average review score of 2.57, compared with 4.29 for on-time/early delivered orders.</w:t>
      </w:r>
    </w:p>
    <w:p>
      <w:pPr>
        <w:pStyle w:val="ListParagraph"/>
        <w:numPr>
          <w:ilvl w:val="0"/>
          <w:numId w:val="2"/>
        </w:numPr>
        <w:spacing w:after="90" w:line="264"/>
      </w:pPr>
      <w:r>
        <w:rPr>
          <w:rFonts w:ascii="Calibri" w:cs="Calibri" w:eastAsia="Calibri" w:hAnsi="Calibri"/>
          <w:color w:val="222222"/>
          <w:sz w:val="22"/>
          <w:szCs w:val="22"/>
        </w:rPr>
        <w:t xml:space="preserve">The proposed HVIA opportunity is a Logistics &amp; Customer Satisfaction Intelligence Dashboard that connects delivery timing, seller performance, geography, categories, freight burden, and reviews.</w:t>
      </w:r>
    </w:p>
    <w:p>
      <w:pPr>
        <w:spacing w:before="120"/>
      </w:pPr>
    </w:p>
    <w:tbl>
      <w:tblPr>
        <w:tblW w:type="dxa" w:w="9026"/>
        <w:tblBorders>
          <w:top w:val="single" w:color="2E75B6" w:sz="4"/>
          <w:left w:val="single" w:color="2E75B6" w:sz="28"/>
          <w:bottom w:val="single" w:color="2E75B6" w:sz="4"/>
          <w:right w:val="single" w:color="2E75B6" w:sz="4"/>
          <w:insideH w:val="single" w:color="auto" w:sz="4"/>
          <w:insideV w:val="single" w:color="auto" w:sz="4"/>
        </w:tblBorders>
      </w:tblPr>
      <w:tblGrid>
        <w:gridCol w:w="9026"/>
      </w:tblGrid>
      <w:tr>
        <w:tc>
          <w:tcPr>
            <w:tcW w:type="dxa" w:w="9026"/>
            <w:shd w:fill="EAF0FA" w:color="auto" w:val="clear"/>
            <w:tcMar>
              <w:top w:type="dxa" w:w="160"/>
              <w:left w:type="dxa" w:w="240"/>
              <w:bottom w:type="dxa" w:w="160"/>
              <w:right w:type="dxa" w:w="240"/>
            </w:tcMar>
          </w:tcPr>
          <w:p>
            <w:pPr>
              <w:spacing w:after="60"/>
            </w:pPr>
            <w:r>
              <w:rPr>
                <w:rFonts w:ascii="Calibri" w:cs="Calibri" w:eastAsia="Calibri" w:hAnsi="Calibri"/>
                <w:b/>
                <w:bCs/>
                <w:i w:val="false"/>
                <w:iCs w:val="false"/>
                <w:color w:val="1F3864"/>
                <w:sz w:val="21"/>
                <w:szCs w:val="21"/>
              </w:rPr>
              <w:t xml:space="preserve">Key finding</w:t>
            </w:r>
          </w:p>
          <w:p>
            <w:pPr>
              <w:spacing w:after="60"/>
            </w:pPr>
            <w:r>
              <w:rPr>
                <w:rFonts w:ascii="Calibri" w:cs="Calibri" w:eastAsia="Calibri" w:hAnsi="Calibri"/>
                <w:b w:val="false"/>
                <w:bCs w:val="false"/>
                <w:i w:val="false"/>
                <w:iCs w:val="false"/>
                <w:color w:val="222222"/>
                <w:sz w:val="21"/>
                <w:szCs w:val="21"/>
              </w:rPr>
              <w:t xml:space="preserve">Orders delivered late average a 2.57 review score, versus 4.29 for on-time or early orders — a 1.72-point gap on a 5-point scale.</w:t>
            </w:r>
          </w:p>
        </w:tc>
      </w:tr>
    </w:tbl>
    <w:p>
      <w:pPr>
        <w:pStyle w:val="Heading1"/>
        <w:keepNext/>
        <w:pBdr>
          <w:bottom w:val="single" w:color="2E75B6" w:sz="8" w:space="6"/>
        </w:pBdr>
        <w:spacing w:after="200" w:before="440"/>
      </w:pPr>
      <w:r>
        <w:rPr>
          <w:rFonts w:ascii="Cambria" w:cs="Cambria" w:eastAsia="Cambria" w:hAnsi="Cambria"/>
          <w:b/>
          <w:bCs/>
          <w:color w:val="1F3864"/>
          <w:sz w:val="30"/>
          <w:szCs w:val="30"/>
        </w:rPr>
        <w:t xml:space="preserve">2. Company Understanding</w:t>
      </w:r>
    </w:p>
    <w:p>
      <w:pPr>
        <w:spacing w:after="160" w:line="276"/>
        <w:jc w:val="left"/>
      </w:pPr>
      <w:r>
        <w:rPr>
          <w:rFonts w:ascii="Calibri" w:cs="Calibri" w:eastAsia="Calibri" w:hAnsi="Calibri"/>
          <w:b w:val="false"/>
          <w:bCs w:val="false"/>
          <w:i w:val="false"/>
          <w:iCs w:val="false"/>
          <w:color w:val="222222"/>
          <w:sz w:val="22"/>
          <w:szCs w:val="22"/>
        </w:rPr>
        <w:t xml:space="preserve">Olist operates as a retail technology ecosystem for sellers. The core business idea is to help small and medium sellers sell online and manage operations without needing to build all systems by themselves.</w:t>
      </w:r>
    </w:p>
    <w:p>
      <w:pPr>
        <w:spacing w:after="160" w:line="276"/>
        <w:jc w:val="left"/>
      </w:pPr>
      <w:r>
        <w:rPr>
          <w:rFonts w:ascii="Calibri" w:cs="Calibri" w:eastAsia="Calibri" w:hAnsi="Calibri"/>
          <w:b w:val="false"/>
          <w:bCs w:val="false"/>
          <w:i w:val="false"/>
          <w:iCs w:val="false"/>
          <w:color w:val="222222"/>
          <w:sz w:val="22"/>
          <w:szCs w:val="22"/>
        </w:rPr>
        <w:t xml:space="preserve">From a business discovery perspective, the key Olist stakeholders are sellers, customers, logistics partners, marketplaces, and internal operations teams. Seller success depends on marketplace access, smooth order management, reliable delivery, payment processing, and customer satisfaction.</w:t>
      </w:r>
    </w:p>
    <w:p>
      <w:pPr>
        <w:spacing w:after="160" w:line="276"/>
        <w:jc w:val="left"/>
      </w:pPr>
      <w:r>
        <w:rPr>
          <w:rFonts w:ascii="Calibri" w:cs="Calibri" w:eastAsia="Calibri" w:hAnsi="Calibri"/>
          <w:b w:val="false"/>
          <w:bCs w:val="false"/>
          <w:i w:val="false"/>
          <w:iCs w:val="false"/>
          <w:color w:val="222222"/>
          <w:sz w:val="22"/>
          <w:szCs w:val="22"/>
        </w:rPr>
        <w:t xml:space="preserve">This makes the dataset useful because it includes orders, customers, sellers, products, payments, freight, delivery timestamps, and reviews. These areas are directly connected to seller growth and customer experience.</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3. Dataset Understanding</w:t>
      </w:r>
    </w:p>
    <w:p>
      <w:pPr>
        <w:spacing w:after="160" w:line="276"/>
        <w:jc w:val="left"/>
      </w:pPr>
      <w:r>
        <w:rPr>
          <w:rFonts w:ascii="Calibri" w:cs="Calibri" w:eastAsia="Calibri" w:hAnsi="Calibri"/>
          <w:b w:val="false"/>
          <w:bCs w:val="false"/>
          <w:i w:val="false"/>
          <w:iCs w:val="false"/>
          <w:color w:val="222222"/>
          <w:sz w:val="22"/>
          <w:szCs w:val="22"/>
        </w:rPr>
        <w:t xml:space="preserve">A key technical lesson in this dataset is row level. Not every table represents the same thing. Some tables are one row per order, while others can have multiple rows per order. This affects how tables should be joined.</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1714"/>
        <w:gridCol w:w="4151"/>
        <w:gridCol w:w="3161"/>
      </w:tblGrid>
      <w:tr>
        <w:trPr>
          <w:tblHeader/>
        </w:trPr>
        <w:tc>
          <w:tcPr>
            <w:tcW w:type="dxa" w:w="1714"/>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Table</w:t>
            </w:r>
          </w:p>
        </w:tc>
        <w:tc>
          <w:tcPr>
            <w:tcW w:type="dxa" w:w="4151"/>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One row represents</w:t>
            </w:r>
          </w:p>
        </w:tc>
        <w:tc>
          <w:tcPr>
            <w:tcW w:type="dxa" w:w="3161"/>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Important keys</w:t>
            </w:r>
          </w:p>
        </w:tc>
      </w:tr>
      <w:tr>
        <w:tc>
          <w:tcPr>
            <w:tcW w:type="dxa" w:w="1714"/>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orders</w:t>
            </w:r>
          </w:p>
        </w:tc>
        <w:tc>
          <w:tcPr>
            <w:tcW w:type="dxa" w:w="415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order with status and timeline</w:t>
            </w:r>
          </w:p>
        </w:tc>
        <w:tc>
          <w:tcPr>
            <w:tcW w:type="dxa" w:w="316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order_id, customer_id</w:t>
            </w:r>
          </w:p>
        </w:tc>
      </w:tr>
      <w:tr>
        <w:tc>
          <w:tcPr>
            <w:tcW w:type="dxa" w:w="1714"/>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customers</w:t>
            </w:r>
          </w:p>
        </w:tc>
        <w:tc>
          <w:tcPr>
            <w:tcW w:type="dxa" w:w="415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Customer record linked to an order</w:t>
            </w:r>
          </w:p>
        </w:tc>
        <w:tc>
          <w:tcPr>
            <w:tcW w:type="dxa" w:w="316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customer_id, customer_unique_id</w:t>
            </w:r>
          </w:p>
        </w:tc>
      </w:tr>
      <w:tr>
        <w:tc>
          <w:tcPr>
            <w:tcW w:type="dxa" w:w="1714"/>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order_items</w:t>
            </w:r>
          </w:p>
        </w:tc>
        <w:tc>
          <w:tcPr>
            <w:tcW w:type="dxa" w:w="415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item inside an order</w:t>
            </w:r>
          </w:p>
        </w:tc>
        <w:tc>
          <w:tcPr>
            <w:tcW w:type="dxa" w:w="316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order_id, product_id, seller_id</w:t>
            </w:r>
          </w:p>
        </w:tc>
      </w:tr>
      <w:tr>
        <w:tc>
          <w:tcPr>
            <w:tcW w:type="dxa" w:w="1714"/>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products</w:t>
            </w:r>
          </w:p>
        </w:tc>
        <w:tc>
          <w:tcPr>
            <w:tcW w:type="dxa" w:w="415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product and its category/details</w:t>
            </w:r>
          </w:p>
        </w:tc>
        <w:tc>
          <w:tcPr>
            <w:tcW w:type="dxa" w:w="316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product_id</w:t>
            </w:r>
          </w:p>
        </w:tc>
      </w:tr>
      <w:tr>
        <w:tc>
          <w:tcPr>
            <w:tcW w:type="dxa" w:w="1714"/>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sellers</w:t>
            </w:r>
          </w:p>
        </w:tc>
        <w:tc>
          <w:tcPr>
            <w:tcW w:type="dxa" w:w="415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seller and seller location</w:t>
            </w:r>
          </w:p>
        </w:tc>
        <w:tc>
          <w:tcPr>
            <w:tcW w:type="dxa" w:w="316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seller_id</w:t>
            </w:r>
          </w:p>
        </w:tc>
      </w:tr>
      <w:tr>
        <w:tc>
          <w:tcPr>
            <w:tcW w:type="dxa" w:w="1714"/>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payments</w:t>
            </w:r>
          </w:p>
        </w:tc>
        <w:tc>
          <w:tcPr>
            <w:tcW w:type="dxa" w:w="415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payment record for an order</w:t>
            </w:r>
          </w:p>
        </w:tc>
        <w:tc>
          <w:tcPr>
            <w:tcW w:type="dxa" w:w="316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order_id</w:t>
            </w:r>
          </w:p>
        </w:tc>
      </w:tr>
      <w:tr>
        <w:tc>
          <w:tcPr>
            <w:tcW w:type="dxa" w:w="1714"/>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reviews</w:t>
            </w:r>
          </w:p>
        </w:tc>
        <w:tc>
          <w:tcPr>
            <w:tcW w:type="dxa" w:w="415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One review record for an order</w:t>
            </w:r>
          </w:p>
        </w:tc>
        <w:tc>
          <w:tcPr>
            <w:tcW w:type="dxa" w:w="316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order_id</w:t>
            </w:r>
          </w:p>
        </w:tc>
      </w:tr>
      <w:tr>
        <w:tc>
          <w:tcPr>
            <w:tcW w:type="dxa" w:w="1714"/>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category_translation</w:t>
            </w:r>
          </w:p>
        </w:tc>
        <w:tc>
          <w:tcPr>
            <w:tcW w:type="dxa" w:w="415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Portuguese category to English category</w:t>
            </w:r>
          </w:p>
        </w:tc>
        <w:tc>
          <w:tcPr>
            <w:tcW w:type="dxa" w:w="316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product_category_name</w:t>
            </w:r>
          </w:p>
        </w:tc>
      </w:tr>
    </w:tbl>
    <w:p>
      <w:pPr>
        <w:spacing w:before="200"/>
      </w:pPr>
    </w:p>
    <w:tbl>
      <w:tblPr>
        <w:tblW w:type="dxa" w:w="9026"/>
        <w:tblBorders>
          <w:top w:val="single" w:color="2E75B6" w:sz="4"/>
          <w:left w:val="single" w:color="2E75B6" w:sz="28"/>
          <w:bottom w:val="single" w:color="2E75B6" w:sz="4"/>
          <w:right w:val="single" w:color="2E75B6" w:sz="4"/>
          <w:insideH w:val="single" w:color="auto" w:sz="4"/>
          <w:insideV w:val="single" w:color="auto" w:sz="4"/>
        </w:tblBorders>
      </w:tblPr>
      <w:tblGrid>
        <w:gridCol w:w="9026"/>
      </w:tblGrid>
      <w:tr>
        <w:tc>
          <w:tcPr>
            <w:tcW w:type="dxa" w:w="9026"/>
            <w:shd w:fill="EAF0FA" w:color="auto" w:val="clear"/>
            <w:tcMar>
              <w:top w:type="dxa" w:w="160"/>
              <w:left w:type="dxa" w:w="240"/>
              <w:bottom w:type="dxa" w:w="160"/>
              <w:right w:type="dxa" w:w="240"/>
            </w:tcMar>
          </w:tcPr>
          <w:p>
            <w:pPr>
              <w:spacing w:after="60"/>
            </w:pPr>
            <w:r>
              <w:rPr>
                <w:rFonts w:ascii="Calibri" w:cs="Calibri" w:eastAsia="Calibri" w:hAnsi="Calibri"/>
                <w:b/>
                <w:bCs/>
                <w:i w:val="false"/>
                <w:iCs w:val="false"/>
                <w:color w:val="1F3864"/>
                <w:sz w:val="21"/>
                <w:szCs w:val="21"/>
              </w:rPr>
              <w:t xml:space="preserve">Important join warning</w:t>
            </w:r>
          </w:p>
          <w:p>
            <w:pPr>
              <w:spacing w:after="60"/>
            </w:pPr>
            <w:r>
              <w:rPr>
                <w:rFonts w:ascii="Calibri" w:cs="Calibri" w:eastAsia="Calibri" w:hAnsi="Calibri"/>
                <w:b w:val="false"/>
                <w:bCs w:val="false"/>
                <w:i w:val="false"/>
                <w:iCs w:val="false"/>
                <w:color w:val="222222"/>
                <w:sz w:val="21"/>
                <w:szCs w:val="21"/>
              </w:rPr>
              <w:t xml:space="preserve">order_items and payments can contain multiple rows per order. Joining them directly to orders can duplicate payment or freight values. To avoid this, item, payment, and review data were aggregated to order level before joining.</w:t>
            </w:r>
          </w:p>
        </w:tc>
      </w:tr>
    </w:tbl>
    <w:p>
      <w:pPr>
        <w:pStyle w:val="Heading1"/>
        <w:keepNext/>
        <w:pBdr>
          <w:bottom w:val="single" w:color="2E75B6" w:sz="8" w:space="6"/>
        </w:pBdr>
        <w:spacing w:after="200" w:before="440"/>
      </w:pPr>
      <w:r>
        <w:rPr>
          <w:rFonts w:ascii="Cambria" w:cs="Cambria" w:eastAsia="Cambria" w:hAnsi="Cambria"/>
          <w:b/>
          <w:bCs/>
          <w:color w:val="1F3864"/>
          <w:sz w:val="30"/>
          <w:szCs w:val="30"/>
        </w:rPr>
        <w:t xml:space="preserve">4. Technical Method</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812"/>
        <w:gridCol w:w="4603"/>
        <w:gridCol w:w="3611"/>
      </w:tblGrid>
      <w:tr>
        <w:trPr>
          <w:tblHeader/>
        </w:trPr>
        <w:tc>
          <w:tcPr>
            <w:tcW w:type="dxa" w:w="812"/>
            <w:shd w:fill="1F3864"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Step</w:t>
            </w:r>
          </w:p>
        </w:tc>
        <w:tc>
          <w:tcPr>
            <w:tcW w:type="dxa" w:w="4603"/>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What was done</w:t>
            </w:r>
          </w:p>
        </w:tc>
        <w:tc>
          <w:tcPr>
            <w:tcW w:type="dxa" w:w="3611"/>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Why it matters</w:t>
            </w:r>
          </w:p>
        </w:tc>
      </w:tr>
      <w:tr>
        <w:tc>
          <w:tcPr>
            <w:tcW w:type="dxa" w:w="812"/>
            <w:shd w:fill="FFFFFF"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1</w:t>
            </w:r>
          </w:p>
        </w:tc>
        <w:tc>
          <w:tcPr>
            <w:tcW w:type="dxa" w:w="460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Loaded all CSV files using pandas</w:t>
            </w:r>
          </w:p>
        </w:tc>
        <w:tc>
          <w:tcPr>
            <w:tcW w:type="dxa" w:w="361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Created a reproducible workflow</w:t>
            </w:r>
          </w:p>
        </w:tc>
      </w:tr>
      <w:tr>
        <w:tc>
          <w:tcPr>
            <w:tcW w:type="dxa" w:w="812"/>
            <w:shd w:fill="F4F7FC"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2</w:t>
            </w:r>
          </w:p>
        </w:tc>
        <w:tc>
          <w:tcPr>
            <w:tcW w:type="dxa" w:w="460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Checked row counts and unique IDs</w:t>
            </w:r>
          </w:p>
        </w:tc>
        <w:tc>
          <w:tcPr>
            <w:tcW w:type="dxa" w:w="361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Identified row level and repeated IDs</w:t>
            </w:r>
          </w:p>
        </w:tc>
      </w:tr>
      <w:tr>
        <w:tc>
          <w:tcPr>
            <w:tcW w:type="dxa" w:w="812"/>
            <w:shd w:fill="FFFFFF"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3</w:t>
            </w:r>
          </w:p>
        </w:tc>
        <w:tc>
          <w:tcPr>
            <w:tcW w:type="dxa" w:w="460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Converted timestamp columns to datetime</w:t>
            </w:r>
          </w:p>
        </w:tc>
        <w:tc>
          <w:tcPr>
            <w:tcW w:type="dxa" w:w="361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Allowed delivery and delay calculations</w:t>
            </w:r>
          </w:p>
        </w:tc>
      </w:tr>
      <w:tr>
        <w:tc>
          <w:tcPr>
            <w:tcW w:type="dxa" w:w="812"/>
            <w:shd w:fill="F4F7FC"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4</w:t>
            </w:r>
          </w:p>
        </w:tc>
        <w:tc>
          <w:tcPr>
            <w:tcW w:type="dxa" w:w="460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Merged product categories and seller locations onto item rows</w:t>
            </w:r>
          </w:p>
        </w:tc>
        <w:tc>
          <w:tcPr>
            <w:tcW w:type="dxa" w:w="361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Enabled category and seller analysis</w:t>
            </w:r>
          </w:p>
        </w:tc>
      </w:tr>
      <w:tr>
        <w:tc>
          <w:tcPr>
            <w:tcW w:type="dxa" w:w="812"/>
            <w:shd w:fill="FFFFFF"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5</w:t>
            </w:r>
          </w:p>
        </w:tc>
        <w:tc>
          <w:tcPr>
            <w:tcW w:type="dxa" w:w="460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Aggregated item/payment/review tables to order level</w:t>
            </w:r>
          </w:p>
        </w:tc>
        <w:tc>
          <w:tcPr>
            <w:tcW w:type="dxa" w:w="361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Avoided duplicated metrics</w:t>
            </w:r>
          </w:p>
        </w:tc>
      </w:tr>
      <w:tr>
        <w:tc>
          <w:tcPr>
            <w:tcW w:type="dxa" w:w="812"/>
            <w:shd w:fill="F4F7FC"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6</w:t>
            </w:r>
          </w:p>
        </w:tc>
        <w:tc>
          <w:tcPr>
            <w:tcW w:type="dxa" w:w="460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Built one order-level analysis table</w:t>
            </w:r>
          </w:p>
        </w:tc>
        <w:tc>
          <w:tcPr>
            <w:tcW w:type="dxa" w:w="3611"/>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Made business metrics reliable</w:t>
            </w:r>
          </w:p>
        </w:tc>
      </w:tr>
      <w:tr>
        <w:tc>
          <w:tcPr>
            <w:tcW w:type="dxa" w:w="812"/>
            <w:shd w:fill="FFFFFF" w:color="auto" w:val="clear"/>
            <w:tcMar>
              <w:top w:type="dxa" w:w="70"/>
              <w:left w:type="dxa" w:w="130"/>
              <w:bottom w:type="dxa" w:w="70"/>
              <w:right w:type="dxa" w:w="130"/>
            </w:tcMar>
            <w:vAlign w:val="center"/>
          </w:tcPr>
          <w:p>
            <w:pPr>
              <w:jc w:val="center"/>
            </w:pPr>
            <w:r>
              <w:rPr>
                <w:rFonts w:ascii="Calibri" w:cs="Calibri" w:eastAsia="Calibri" w:hAnsi="Calibri"/>
                <w:color w:val="222222"/>
                <w:sz w:val="20"/>
                <w:szCs w:val="20"/>
              </w:rPr>
              <w:t xml:space="preserve">7</w:t>
            </w:r>
          </w:p>
        </w:tc>
        <w:tc>
          <w:tcPr>
            <w:tcW w:type="dxa" w:w="460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Calculated delivery days, delay days, late flag, freight ratio</w:t>
            </w:r>
          </w:p>
        </w:tc>
        <w:tc>
          <w:tcPr>
            <w:tcW w:type="dxa" w:w="3611"/>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Created business-ready metrics</w:t>
            </w:r>
          </w:p>
        </w:tc>
      </w:tr>
    </w:tbl>
    <w:p>
      <w:pPr>
        <w:pStyle w:val="Heading1"/>
        <w:keepNext/>
        <w:pBdr>
          <w:bottom w:val="single" w:color="2E75B6" w:sz="8" w:space="6"/>
        </w:pBdr>
        <w:spacing w:after="200" w:before="440"/>
      </w:pPr>
      <w:r>
        <w:rPr>
          <w:rFonts w:ascii="Cambria" w:cs="Cambria" w:eastAsia="Cambria" w:hAnsi="Cambria"/>
          <w:b/>
          <w:bCs/>
          <w:color w:val="1F3864"/>
          <w:sz w:val="30"/>
          <w:szCs w:val="30"/>
        </w:rPr>
        <w:t xml:space="preserve">5. Business Overview</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2527"/>
        <w:gridCol w:w="1985"/>
        <w:gridCol w:w="2527"/>
        <w:gridCol w:w="1987"/>
      </w:tblGrid>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Total orders</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99,441</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Delivered orders</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96,478</w:t>
            </w:r>
          </w:p>
        </w:tc>
      </w:tr>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Canceled orders</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625</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Unavailable orders</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609</w:t>
            </w:r>
          </w:p>
        </w:tc>
      </w:tr>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Total payment value</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16,008,872.12</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Average payment value</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160.99</w:t>
            </w:r>
          </w:p>
        </w:tc>
      </w:tr>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Unique customers</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96,096</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Unique sellers</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3,095</w:t>
            </w:r>
          </w:p>
        </w:tc>
      </w:tr>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Average review score</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4.09</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Avg. delivery days (delivered)</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12.56</w:t>
            </w:r>
          </w:p>
        </w:tc>
      </w:tr>
      <w:tr>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Late delivery rate (delivered)</w:t>
            </w:r>
          </w:p>
        </w:tc>
        <w:tc>
          <w:tcPr>
            <w:tcW w:type="dxa" w:w="1985"/>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8.11%</w:t>
            </w:r>
          </w:p>
        </w:tc>
        <w:tc>
          <w:tcPr>
            <w:tcW w:type="dxa" w:w="2527"/>
            <w:shd w:fill="EAF0FA" w:color="auto" w:val="clear"/>
            <w:tcMar>
              <w:top w:type="dxa" w:w="80"/>
              <w:left w:type="dxa" w:w="130"/>
              <w:bottom w:type="dxa" w:w="80"/>
              <w:right w:type="dxa" w:w="100"/>
            </w:tcMar>
            <w:vAlign w:val="center"/>
          </w:tcPr>
          <w:p>
            <w:r>
              <w:rPr>
                <w:rFonts w:ascii="Calibri" w:cs="Calibri" w:eastAsia="Calibri" w:hAnsi="Calibri"/>
                <w:color w:val="1F3864"/>
                <w:sz w:val="19"/>
                <w:szCs w:val="19"/>
              </w:rPr>
              <w:t xml:space="preserve">Repeat customer rate</w:t>
            </w:r>
          </w:p>
        </w:tc>
        <w:tc>
          <w:tcPr>
            <w:tcW w:type="dxa" w:w="1987"/>
            <w:tcMar>
              <w:top w:type="dxa" w:w="80"/>
              <w:left w:type="dxa" w:w="100"/>
              <w:bottom w:type="dxa" w:w="80"/>
              <w:right w:type="dxa" w:w="130"/>
            </w:tcMar>
            <w:vAlign w:val="center"/>
          </w:tcPr>
          <w:p>
            <w:pPr>
              <w:jc w:val="right"/>
            </w:pPr>
            <w:r>
              <w:rPr>
                <w:rFonts w:ascii="Calibri" w:cs="Calibri" w:eastAsia="Calibri" w:hAnsi="Calibri"/>
                <w:b/>
                <w:bCs/>
                <w:color w:val="222222"/>
                <w:sz w:val="20"/>
                <w:szCs w:val="20"/>
              </w:rPr>
              <w:t xml:space="preserve">3.12%</w:t>
            </w:r>
          </w:p>
        </w:tc>
      </w:tr>
    </w:tbl>
    <w:p>
      <w:pPr>
        <w:keepNext/>
        <w:spacing w:after="80" w:before="200"/>
        <w:jc w:val="center"/>
      </w:pPr>
      <w:r>
        <w:drawing>
          <wp:inline distT="0" distB="0" distL="0" distR="0">
            <wp:extent cx="52101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26098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Order status distribution across all 99,441 orders in the dataset.</w:t>
      </w:r>
    </w:p>
    <w:p>
      <w:pPr>
        <w:keepNext/>
        <w:spacing w:after="80" w:before="200"/>
        <w:jc w:val="center"/>
      </w:pPr>
      <w:r>
        <w:drawing>
          <wp:inline distT="0" distB="0" distL="0" distR="0">
            <wp:extent cx="42100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1623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2. Monthly order volume from September 2016 to October 2018.</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6. Location and Category Patterns</w:t>
      </w:r>
    </w:p>
    <w:p>
      <w:pPr>
        <w:pStyle w:val="Heading2"/>
        <w:keepNext/>
        <w:spacing w:after="120" w:before="260"/>
      </w:pPr>
      <w:r>
        <w:rPr>
          <w:rFonts w:ascii="Cambria" w:cs="Cambria" w:eastAsia="Cambria" w:hAnsi="Cambria"/>
          <w:b/>
          <w:bCs/>
          <w:color w:val="2E75B6"/>
          <w:sz w:val="24"/>
          <w:szCs w:val="24"/>
        </w:rPr>
        <w:t xml:space="preserve">Customer location concentration</w:t>
      </w:r>
    </w:p>
    <w:p>
      <w:pPr>
        <w:spacing w:after="160" w:line="276"/>
        <w:jc w:val="left"/>
      </w:pPr>
      <w:r>
        <w:rPr>
          <w:rFonts w:ascii="Calibri" w:cs="Calibri" w:eastAsia="Calibri" w:hAnsi="Calibri"/>
          <w:b w:val="false"/>
          <w:bCs w:val="false"/>
          <w:i w:val="false"/>
          <w:iCs w:val="false"/>
          <w:color w:val="222222"/>
          <w:sz w:val="22"/>
          <w:szCs w:val="22"/>
        </w:rPr>
        <w:t xml:space="preserve">Order demand is highly concentrated in a few Brazilian states. SP is the largest customer state by order volume, followed by RJ and MG. This matters because operational improvements in high-volume states may affect a large share of orders.</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3610"/>
        <w:gridCol w:w="5416"/>
      </w:tblGrid>
      <w:tr>
        <w:trPr>
          <w:tblHeader/>
        </w:trPr>
        <w:tc>
          <w:tcPr>
            <w:tcW w:type="dxa" w:w="3610"/>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Customer state</w:t>
            </w:r>
          </w:p>
        </w:tc>
        <w:tc>
          <w:tcPr>
            <w:tcW w:type="dxa" w:w="5416"/>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Orders</w:t>
            </w:r>
          </w:p>
        </w:tc>
      </w:tr>
      <w:tr>
        <w:tc>
          <w:tcPr>
            <w:tcW w:type="dxa" w:w="3610"/>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SP</w:t>
            </w:r>
          </w:p>
        </w:tc>
        <w:tc>
          <w:tcPr>
            <w:tcW w:type="dxa" w:w="541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41,746</w:t>
            </w:r>
          </w:p>
        </w:tc>
      </w:tr>
      <w:tr>
        <w:tc>
          <w:tcPr>
            <w:tcW w:type="dxa" w:w="3610"/>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RJ</w:t>
            </w:r>
          </w:p>
        </w:tc>
        <w:tc>
          <w:tcPr>
            <w:tcW w:type="dxa" w:w="541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12,852</w:t>
            </w:r>
          </w:p>
        </w:tc>
      </w:tr>
      <w:tr>
        <w:tc>
          <w:tcPr>
            <w:tcW w:type="dxa" w:w="3610"/>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MG</w:t>
            </w:r>
          </w:p>
        </w:tc>
        <w:tc>
          <w:tcPr>
            <w:tcW w:type="dxa" w:w="541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11,635</w:t>
            </w:r>
          </w:p>
        </w:tc>
      </w:tr>
      <w:tr>
        <w:tc>
          <w:tcPr>
            <w:tcW w:type="dxa" w:w="3610"/>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RS</w:t>
            </w:r>
          </w:p>
        </w:tc>
        <w:tc>
          <w:tcPr>
            <w:tcW w:type="dxa" w:w="541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5,466</w:t>
            </w:r>
          </w:p>
        </w:tc>
      </w:tr>
      <w:tr>
        <w:tc>
          <w:tcPr>
            <w:tcW w:type="dxa" w:w="3610"/>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PR</w:t>
            </w:r>
          </w:p>
        </w:tc>
        <w:tc>
          <w:tcPr>
            <w:tcW w:type="dxa" w:w="541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5,045</w:t>
            </w:r>
          </w:p>
        </w:tc>
      </w:tr>
      <w:tr>
        <w:tc>
          <w:tcPr>
            <w:tcW w:type="dxa" w:w="3610"/>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SC</w:t>
            </w:r>
          </w:p>
        </w:tc>
        <w:tc>
          <w:tcPr>
            <w:tcW w:type="dxa" w:w="541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3,637</w:t>
            </w:r>
          </w:p>
        </w:tc>
      </w:tr>
      <w:tr>
        <w:tc>
          <w:tcPr>
            <w:tcW w:type="dxa" w:w="3610"/>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BA</w:t>
            </w:r>
          </w:p>
        </w:tc>
        <w:tc>
          <w:tcPr>
            <w:tcW w:type="dxa" w:w="541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3,380</w:t>
            </w:r>
          </w:p>
        </w:tc>
      </w:tr>
      <w:tr>
        <w:tc>
          <w:tcPr>
            <w:tcW w:type="dxa" w:w="3610"/>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DF</w:t>
            </w:r>
          </w:p>
        </w:tc>
        <w:tc>
          <w:tcPr>
            <w:tcW w:type="dxa" w:w="541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2,140</w:t>
            </w:r>
          </w:p>
        </w:tc>
      </w:tr>
      <w:tr>
        <w:tc>
          <w:tcPr>
            <w:tcW w:type="dxa" w:w="3610"/>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ES</w:t>
            </w:r>
          </w:p>
        </w:tc>
        <w:tc>
          <w:tcPr>
            <w:tcW w:type="dxa" w:w="541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2,033</w:t>
            </w:r>
          </w:p>
        </w:tc>
      </w:tr>
      <w:tr>
        <w:tc>
          <w:tcPr>
            <w:tcW w:type="dxa" w:w="3610"/>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GO</w:t>
            </w:r>
          </w:p>
        </w:tc>
        <w:tc>
          <w:tcPr>
            <w:tcW w:type="dxa" w:w="541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2,020</w:t>
            </w:r>
          </w:p>
        </w:tc>
      </w:tr>
    </w:tbl>
    <w:p>
      <w:pPr>
        <w:keepNext/>
        <w:spacing w:after="80" w:before="200"/>
        <w:jc w:val="center"/>
      </w:pPr>
      <w:r>
        <w:drawing>
          <wp:inline distT="0" distB="0" distL="0" distR="0">
            <wp:extent cx="52101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26098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3. The ten customer states with the highest order volume.</w:t>
      </w:r>
    </w:p>
    <w:p>
      <w:pPr>
        <w:pStyle w:val="Heading2"/>
        <w:keepNext/>
        <w:spacing w:after="120" w:before="260"/>
      </w:pPr>
      <w:r>
        <w:rPr>
          <w:rFonts w:ascii="Cambria" w:cs="Cambria" w:eastAsia="Cambria" w:hAnsi="Cambria"/>
          <w:b/>
          <w:bCs/>
          <w:color w:val="2E75B6"/>
          <w:sz w:val="24"/>
          <w:szCs w:val="24"/>
        </w:rPr>
        <w:t xml:space="preserve">Category performance</w:t>
      </w:r>
    </w:p>
    <w:p>
      <w:pPr>
        <w:spacing w:after="160" w:line="276"/>
        <w:jc w:val="left"/>
      </w:pPr>
      <w:r>
        <w:rPr>
          <w:rFonts w:ascii="Calibri" w:cs="Calibri" w:eastAsia="Calibri" w:hAnsi="Calibri"/>
          <w:b w:val="false"/>
          <w:bCs w:val="false"/>
          <w:i w:val="false"/>
          <w:iCs w:val="false"/>
          <w:color w:val="222222"/>
          <w:sz w:val="22"/>
          <w:szCs w:val="22"/>
        </w:rPr>
        <w:t xml:space="preserve">Category analysis shows which product areas drive item revenue. This is useful because operational issues may not affect every category equally; some categories may have higher freight burden or stronger revenue importance.</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2888"/>
        <w:gridCol w:w="1985"/>
        <w:gridCol w:w="2346"/>
        <w:gridCol w:w="1807"/>
      </w:tblGrid>
      <w:tr>
        <w:trPr>
          <w:tblHeader/>
        </w:trPr>
        <w:tc>
          <w:tcPr>
            <w:tcW w:type="dxa" w:w="2888"/>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Category</w:t>
            </w:r>
          </w:p>
        </w:tc>
        <w:tc>
          <w:tcPr>
            <w:tcW w:type="dxa" w:w="1985"/>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Unique orders</w:t>
            </w:r>
          </w:p>
        </w:tc>
        <w:tc>
          <w:tcPr>
            <w:tcW w:type="dxa" w:w="2346"/>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Item revenue</w:t>
            </w:r>
          </w:p>
        </w:tc>
        <w:tc>
          <w:tcPr>
            <w:tcW w:type="dxa" w:w="1807"/>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Freight ratio</w:t>
            </w:r>
          </w:p>
        </w:tc>
      </w:tr>
      <w:tr>
        <w:tc>
          <w:tcPr>
            <w:tcW w:type="dxa" w:w="2888"/>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health_beauty</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8,836</w:t>
            </w:r>
          </w:p>
        </w:tc>
        <w:tc>
          <w:tcPr>
            <w:tcW w:type="dxa" w:w="234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1,258,681.34</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0.15</w:t>
            </w:r>
          </w:p>
        </w:tc>
      </w:tr>
      <w:tr>
        <w:tc>
          <w:tcPr>
            <w:tcW w:type="dxa" w:w="2888"/>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watches_gifts</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5,624</w:t>
            </w:r>
          </w:p>
        </w:tc>
        <w:tc>
          <w:tcPr>
            <w:tcW w:type="dxa" w:w="234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1,205,005.68</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0.08</w:t>
            </w:r>
          </w:p>
        </w:tc>
      </w:tr>
      <w:tr>
        <w:tc>
          <w:tcPr>
            <w:tcW w:type="dxa" w:w="2888"/>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bed_bath_table</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9,417</w:t>
            </w:r>
          </w:p>
        </w:tc>
        <w:tc>
          <w:tcPr>
            <w:tcW w:type="dxa" w:w="234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1,036,988.68</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0.20</w:t>
            </w:r>
          </w:p>
        </w:tc>
      </w:tr>
      <w:tr>
        <w:tc>
          <w:tcPr>
            <w:tcW w:type="dxa" w:w="2888"/>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sports_leisure</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7,720</w:t>
            </w:r>
          </w:p>
        </w:tc>
        <w:tc>
          <w:tcPr>
            <w:tcW w:type="dxa" w:w="234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988,048.97</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0.17</w:t>
            </w:r>
          </w:p>
        </w:tc>
      </w:tr>
      <w:tr>
        <w:tc>
          <w:tcPr>
            <w:tcW w:type="dxa" w:w="2888"/>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computers_accessories</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6,689</w:t>
            </w:r>
          </w:p>
        </w:tc>
        <w:tc>
          <w:tcPr>
            <w:tcW w:type="dxa" w:w="234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911,954.32</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0.16</w:t>
            </w:r>
          </w:p>
        </w:tc>
      </w:tr>
      <w:tr>
        <w:tc>
          <w:tcPr>
            <w:tcW w:type="dxa" w:w="2888"/>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furniture_decor</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6,449</w:t>
            </w:r>
          </w:p>
        </w:tc>
        <w:tc>
          <w:tcPr>
            <w:tcW w:type="dxa" w:w="234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729,762.49</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0.24</w:t>
            </w:r>
          </w:p>
        </w:tc>
      </w:tr>
      <w:tr>
        <w:tc>
          <w:tcPr>
            <w:tcW w:type="dxa" w:w="2888"/>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cool_stuff</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3,632</w:t>
            </w:r>
          </w:p>
        </w:tc>
        <w:tc>
          <w:tcPr>
            <w:tcW w:type="dxa" w:w="234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635,290.85</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0.13</w:t>
            </w:r>
          </w:p>
        </w:tc>
      </w:tr>
      <w:tr>
        <w:tc>
          <w:tcPr>
            <w:tcW w:type="dxa" w:w="2888"/>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housewares</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5,884</w:t>
            </w:r>
          </w:p>
        </w:tc>
        <w:tc>
          <w:tcPr>
            <w:tcW w:type="dxa" w:w="234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632,248.66</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0.23</w:t>
            </w:r>
          </w:p>
        </w:tc>
      </w:tr>
      <w:tr>
        <w:tc>
          <w:tcPr>
            <w:tcW w:type="dxa" w:w="2888"/>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auto</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3,897</w:t>
            </w:r>
          </w:p>
        </w:tc>
        <w:tc>
          <w:tcPr>
            <w:tcW w:type="dxa" w:w="2346"/>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592,720.11</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0.16</w:t>
            </w:r>
          </w:p>
        </w:tc>
      </w:tr>
      <w:tr>
        <w:tc>
          <w:tcPr>
            <w:tcW w:type="dxa" w:w="2888"/>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garden_tools</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3,518</w:t>
            </w:r>
          </w:p>
        </w:tc>
        <w:tc>
          <w:tcPr>
            <w:tcW w:type="dxa" w:w="2346"/>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485,256.46</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0.20</w:t>
            </w:r>
          </w:p>
        </w:tc>
      </w:tr>
    </w:tbl>
    <w:p>
      <w:pPr>
        <w:keepNext/>
        <w:spacing w:after="80" w:before="20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384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4. The ten product categories generating the highest item revenue.</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7. Main Finding: Delivery Performance and Reviews</w:t>
      </w:r>
    </w:p>
    <w:p>
      <w:pPr>
        <w:spacing w:after="160" w:line="276"/>
        <w:jc w:val="left"/>
      </w:pPr>
      <w:r>
        <w:rPr>
          <w:rFonts w:ascii="Calibri" w:cs="Calibri" w:eastAsia="Calibri" w:hAnsi="Calibri"/>
          <w:b w:val="false"/>
          <w:bCs w:val="false"/>
          <w:i w:val="false"/>
          <w:iCs w:val="false"/>
          <w:color w:val="222222"/>
          <w:sz w:val="22"/>
          <w:szCs w:val="22"/>
        </w:rPr>
        <w:t xml:space="preserve">The strongest finding is that late delivered orders have much lower review scores than on-time or early delivered orders. This does not prove delivery delay is the only cause of bad reviews, but it is a strong operational signal worth monitoring.</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1985"/>
        <w:gridCol w:w="1444"/>
        <w:gridCol w:w="1985"/>
        <w:gridCol w:w="1805"/>
        <w:gridCol w:w="1807"/>
      </w:tblGrid>
      <w:tr>
        <w:trPr>
          <w:tblHeader/>
        </w:trPr>
        <w:tc>
          <w:tcPr>
            <w:tcW w:type="dxa" w:w="1985"/>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Delivery status</w:t>
            </w:r>
          </w:p>
        </w:tc>
        <w:tc>
          <w:tcPr>
            <w:tcW w:type="dxa" w:w="1444"/>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Orders</w:t>
            </w:r>
          </w:p>
        </w:tc>
        <w:tc>
          <w:tcPr>
            <w:tcW w:type="dxa" w:w="1985"/>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Avg review score</w:t>
            </w:r>
          </w:p>
        </w:tc>
        <w:tc>
          <w:tcPr>
            <w:tcW w:type="dxa" w:w="1805"/>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Avg delivery days</w:t>
            </w:r>
          </w:p>
        </w:tc>
        <w:tc>
          <w:tcPr>
            <w:tcW w:type="dxa" w:w="1807"/>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Avg delay days</w:t>
            </w:r>
          </w:p>
        </w:tc>
      </w:tr>
      <w:tr>
        <w:tc>
          <w:tcPr>
            <w:tcW w:type="dxa" w:w="1985"/>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Late</w:t>
            </w:r>
          </w:p>
        </w:tc>
        <w:tc>
          <w:tcPr>
            <w:tcW w:type="dxa" w:w="144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7,826</w:t>
            </w:r>
          </w:p>
        </w:tc>
        <w:tc>
          <w:tcPr>
            <w:tcW w:type="dxa" w:w="198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2.57</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31.52</w:t>
            </w:r>
          </w:p>
        </w:tc>
        <w:tc>
          <w:tcPr>
            <w:tcW w:type="dxa" w:w="1807"/>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9.55</w:t>
            </w:r>
          </w:p>
        </w:tc>
      </w:tr>
      <w:tr>
        <w:tc>
          <w:tcPr>
            <w:tcW w:type="dxa" w:w="1985"/>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On time / early</w:t>
            </w:r>
          </w:p>
        </w:tc>
        <w:tc>
          <w:tcPr>
            <w:tcW w:type="dxa" w:w="144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88,652</w:t>
            </w:r>
          </w:p>
        </w:tc>
        <w:tc>
          <w:tcPr>
            <w:tcW w:type="dxa" w:w="198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4.29</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10.88</w:t>
            </w:r>
          </w:p>
        </w:tc>
        <w:tc>
          <w:tcPr>
            <w:tcW w:type="dxa" w:w="1807"/>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-13.01</w:t>
            </w:r>
          </w:p>
        </w:tc>
      </w:tr>
    </w:tbl>
    <w:p>
      <w:pPr>
        <w:keepNext/>
        <w:spacing w:after="8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5. Distribution of review scores across delivered orders.</w:t>
      </w:r>
    </w:p>
    <w:p>
      <w:pPr>
        <w:keepNext/>
        <w:spacing w:after="80" w:before="200"/>
        <w:jc w:val="center"/>
      </w:pPr>
      <w:r>
        <w:drawing>
          <wp:inline distT="0" distB="0" distL="0" distR="0">
            <wp:extent cx="39338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6193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6. Average review score for late versus on-time/early deliveries.</w:t>
      </w:r>
    </w:p>
    <w:p>
      <w:pPr>
        <w:pStyle w:val="Heading2"/>
        <w:keepNext/>
        <w:spacing w:after="120" w:before="260"/>
      </w:pPr>
      <w:r>
        <w:rPr>
          <w:rFonts w:ascii="Cambria" w:cs="Cambria" w:eastAsia="Cambria" w:hAnsi="Cambria"/>
          <w:b/>
          <w:bCs/>
          <w:color w:val="2E75B6"/>
          <w:sz w:val="24"/>
          <w:szCs w:val="24"/>
        </w:rPr>
        <w:t xml:space="preserve">Late delivery by state</w:t>
      </w:r>
    </w:p>
    <w:p>
      <w:pPr>
        <w:spacing w:after="160" w:line="276"/>
        <w:jc w:val="left"/>
      </w:pPr>
      <w:r>
        <w:rPr>
          <w:rFonts w:ascii="Calibri" w:cs="Calibri" w:eastAsia="Calibri" w:hAnsi="Calibri"/>
          <w:b w:val="false"/>
          <w:bCs w:val="false"/>
          <w:i w:val="false"/>
          <w:iCs w:val="false"/>
          <w:color w:val="222222"/>
          <w:sz w:val="22"/>
          <w:szCs w:val="22"/>
        </w:rPr>
        <w:t xml:space="preserve">Late delivery rates also vary by customer state. This suggests a possible logistics intelligence use case: identify states, sellers, or routes where delivery risk is higher and customer satisfaction may be affected.</w:t>
      </w:r>
    </w:p>
    <w:tbl>
      <w:tblPr>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1263"/>
        <w:gridCol w:w="1714"/>
        <w:gridCol w:w="2075"/>
        <w:gridCol w:w="1805"/>
        <w:gridCol w:w="2169"/>
      </w:tblGrid>
      <w:tr>
        <w:trPr>
          <w:tblHeader/>
        </w:trPr>
        <w:tc>
          <w:tcPr>
            <w:tcW w:type="dxa" w:w="1263"/>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State</w:t>
            </w:r>
          </w:p>
        </w:tc>
        <w:tc>
          <w:tcPr>
            <w:tcW w:type="dxa" w:w="1714"/>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Orders</w:t>
            </w:r>
          </w:p>
        </w:tc>
        <w:tc>
          <w:tcPr>
            <w:tcW w:type="dxa" w:w="2075"/>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Avg delivery days</w:t>
            </w:r>
          </w:p>
        </w:tc>
        <w:tc>
          <w:tcPr>
            <w:tcW w:type="dxa" w:w="1805"/>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Late rate %</w:t>
            </w:r>
          </w:p>
        </w:tc>
        <w:tc>
          <w:tcPr>
            <w:tcW w:type="dxa" w:w="2169"/>
            <w:shd w:fill="1F3864" w:color="auto" w:val="clear"/>
            <w:tcMar>
              <w:top w:type="dxa" w:w="90"/>
              <w:left w:type="dxa" w:w="130"/>
              <w:bottom w:type="dxa" w:w="90"/>
              <w:right w:type="dxa" w:w="130"/>
            </w:tcMar>
            <w:vAlign w:val="center"/>
          </w:tcPr>
          <w:p>
            <w:pPr>
              <w:jc w:val="right"/>
            </w:pPr>
            <w:r>
              <w:rPr>
                <w:rFonts w:ascii="Calibri" w:cs="Calibri" w:eastAsia="Calibri" w:hAnsi="Calibri"/>
                <w:b/>
                <w:bCs/>
                <w:color w:val="FFFFFF"/>
                <w:sz w:val="20"/>
                <w:szCs w:val="20"/>
              </w:rPr>
              <w:t xml:space="preserve">Avg review</w:t>
            </w:r>
          </w:p>
        </w:tc>
      </w:tr>
      <w:tr>
        <w:tc>
          <w:tcPr>
            <w:tcW w:type="dxa" w:w="126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AL</w:t>
            </w:r>
          </w:p>
        </w:tc>
        <w:tc>
          <w:tcPr>
            <w:tcW w:type="dxa" w:w="171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397</w:t>
            </w:r>
          </w:p>
        </w:tc>
        <w:tc>
          <w:tcPr>
            <w:tcW w:type="dxa" w:w="207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24.54</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23.93</w:t>
            </w:r>
          </w:p>
        </w:tc>
        <w:tc>
          <w:tcPr>
            <w:tcW w:type="dxa" w:w="2169"/>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3.85</w:t>
            </w:r>
          </w:p>
        </w:tc>
      </w:tr>
      <w:tr>
        <w:tc>
          <w:tcPr>
            <w:tcW w:type="dxa" w:w="126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MA</w:t>
            </w:r>
          </w:p>
        </w:tc>
        <w:tc>
          <w:tcPr>
            <w:tcW w:type="dxa" w:w="171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717</w:t>
            </w:r>
          </w:p>
        </w:tc>
        <w:tc>
          <w:tcPr>
            <w:tcW w:type="dxa" w:w="207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21.57</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19.67</w:t>
            </w:r>
          </w:p>
        </w:tc>
        <w:tc>
          <w:tcPr>
            <w:tcW w:type="dxa" w:w="2169"/>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3.83</w:t>
            </w:r>
          </w:p>
        </w:tc>
      </w:tr>
      <w:tr>
        <w:tc>
          <w:tcPr>
            <w:tcW w:type="dxa" w:w="126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PI</w:t>
            </w:r>
          </w:p>
        </w:tc>
        <w:tc>
          <w:tcPr>
            <w:tcW w:type="dxa" w:w="171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476</w:t>
            </w:r>
          </w:p>
        </w:tc>
        <w:tc>
          <w:tcPr>
            <w:tcW w:type="dxa" w:w="207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19.46</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15.97</w:t>
            </w:r>
          </w:p>
        </w:tc>
        <w:tc>
          <w:tcPr>
            <w:tcW w:type="dxa" w:w="2169"/>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3.99</w:t>
            </w:r>
          </w:p>
        </w:tc>
      </w:tr>
      <w:tr>
        <w:tc>
          <w:tcPr>
            <w:tcW w:type="dxa" w:w="126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CE</w:t>
            </w:r>
          </w:p>
        </w:tc>
        <w:tc>
          <w:tcPr>
            <w:tcW w:type="dxa" w:w="171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1,279</w:t>
            </w:r>
          </w:p>
        </w:tc>
        <w:tc>
          <w:tcPr>
            <w:tcW w:type="dxa" w:w="207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21.27</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15.32</w:t>
            </w:r>
          </w:p>
        </w:tc>
        <w:tc>
          <w:tcPr>
            <w:tcW w:type="dxa" w:w="2169"/>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3.94</w:t>
            </w:r>
          </w:p>
        </w:tc>
      </w:tr>
      <w:tr>
        <w:tc>
          <w:tcPr>
            <w:tcW w:type="dxa" w:w="126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SE</w:t>
            </w:r>
          </w:p>
        </w:tc>
        <w:tc>
          <w:tcPr>
            <w:tcW w:type="dxa" w:w="171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335</w:t>
            </w:r>
          </w:p>
        </w:tc>
        <w:tc>
          <w:tcPr>
            <w:tcW w:type="dxa" w:w="207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21.52</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15.22</w:t>
            </w:r>
          </w:p>
        </w:tc>
        <w:tc>
          <w:tcPr>
            <w:tcW w:type="dxa" w:w="2169"/>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3.91</w:t>
            </w:r>
          </w:p>
        </w:tc>
      </w:tr>
      <w:tr>
        <w:tc>
          <w:tcPr>
            <w:tcW w:type="dxa" w:w="126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BA</w:t>
            </w:r>
          </w:p>
        </w:tc>
        <w:tc>
          <w:tcPr>
            <w:tcW w:type="dxa" w:w="171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3,256</w:t>
            </w:r>
          </w:p>
        </w:tc>
        <w:tc>
          <w:tcPr>
            <w:tcW w:type="dxa" w:w="207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19.34</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14.04</w:t>
            </w:r>
          </w:p>
        </w:tc>
        <w:tc>
          <w:tcPr>
            <w:tcW w:type="dxa" w:w="2169"/>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3.93</w:t>
            </w:r>
          </w:p>
        </w:tc>
      </w:tr>
      <w:tr>
        <w:tc>
          <w:tcPr>
            <w:tcW w:type="dxa" w:w="126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RJ</w:t>
            </w:r>
          </w:p>
        </w:tc>
        <w:tc>
          <w:tcPr>
            <w:tcW w:type="dxa" w:w="171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12,350</w:t>
            </w:r>
          </w:p>
        </w:tc>
        <w:tc>
          <w:tcPr>
            <w:tcW w:type="dxa" w:w="207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15.31</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13.47</w:t>
            </w:r>
          </w:p>
        </w:tc>
        <w:tc>
          <w:tcPr>
            <w:tcW w:type="dxa" w:w="2169"/>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3.97</w:t>
            </w:r>
          </w:p>
        </w:tc>
      </w:tr>
      <w:tr>
        <w:tc>
          <w:tcPr>
            <w:tcW w:type="dxa" w:w="126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TO</w:t>
            </w:r>
          </w:p>
        </w:tc>
        <w:tc>
          <w:tcPr>
            <w:tcW w:type="dxa" w:w="171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274</w:t>
            </w:r>
          </w:p>
        </w:tc>
        <w:tc>
          <w:tcPr>
            <w:tcW w:type="dxa" w:w="207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17.66</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12.77</w:t>
            </w:r>
          </w:p>
        </w:tc>
        <w:tc>
          <w:tcPr>
            <w:tcW w:type="dxa" w:w="2169"/>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4.15</w:t>
            </w:r>
          </w:p>
        </w:tc>
      </w:tr>
      <w:tr>
        <w:tc>
          <w:tcPr>
            <w:tcW w:type="dxa" w:w="1263"/>
            <w:shd w:fill="FFFFFF"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PA</w:t>
            </w:r>
          </w:p>
        </w:tc>
        <w:tc>
          <w:tcPr>
            <w:tcW w:type="dxa" w:w="1714"/>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946</w:t>
            </w:r>
          </w:p>
        </w:tc>
        <w:tc>
          <w:tcPr>
            <w:tcW w:type="dxa" w:w="207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23.77</w:t>
            </w:r>
          </w:p>
        </w:tc>
        <w:tc>
          <w:tcPr>
            <w:tcW w:type="dxa" w:w="1805"/>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12.37</w:t>
            </w:r>
          </w:p>
        </w:tc>
        <w:tc>
          <w:tcPr>
            <w:tcW w:type="dxa" w:w="2169"/>
            <w:shd w:fill="FFFFFF"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3.91</w:t>
            </w:r>
          </w:p>
        </w:tc>
      </w:tr>
      <w:tr>
        <w:tc>
          <w:tcPr>
            <w:tcW w:type="dxa" w:w="1263"/>
            <w:shd w:fill="F4F7FC" w:color="auto" w:val="clear"/>
            <w:tcMar>
              <w:top w:type="dxa" w:w="70"/>
              <w:left w:type="dxa" w:w="130"/>
              <w:bottom w:type="dxa" w:w="70"/>
              <w:right w:type="dxa" w:w="130"/>
            </w:tcMar>
            <w:vAlign w:val="center"/>
          </w:tcPr>
          <w:p>
            <w:pPr>
              <w:jc w:val="left"/>
            </w:pPr>
            <w:r>
              <w:rPr>
                <w:rFonts w:ascii="Calibri" w:cs="Calibri" w:eastAsia="Calibri" w:hAnsi="Calibri"/>
                <w:color w:val="222222"/>
                <w:sz w:val="20"/>
                <w:szCs w:val="20"/>
              </w:rPr>
              <w:t xml:space="preserve">ES</w:t>
            </w:r>
          </w:p>
        </w:tc>
        <w:tc>
          <w:tcPr>
            <w:tcW w:type="dxa" w:w="1714"/>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1,995</w:t>
            </w:r>
          </w:p>
        </w:tc>
        <w:tc>
          <w:tcPr>
            <w:tcW w:type="dxa" w:w="207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15.79</w:t>
            </w:r>
          </w:p>
        </w:tc>
        <w:tc>
          <w:tcPr>
            <w:tcW w:type="dxa" w:w="1805"/>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12.23</w:t>
            </w:r>
          </w:p>
        </w:tc>
        <w:tc>
          <w:tcPr>
            <w:tcW w:type="dxa" w:w="2169"/>
            <w:shd w:fill="F4F7FC" w:color="auto" w:val="clear"/>
            <w:tcMar>
              <w:top w:type="dxa" w:w="70"/>
              <w:left w:type="dxa" w:w="130"/>
              <w:bottom w:type="dxa" w:w="70"/>
              <w:right w:type="dxa" w:w="130"/>
            </w:tcMar>
            <w:vAlign w:val="center"/>
          </w:tcPr>
          <w:p>
            <w:pPr>
              <w:jc w:val="right"/>
            </w:pPr>
            <w:r>
              <w:rPr>
                <w:rFonts w:ascii="Calibri" w:cs="Calibri" w:eastAsia="Calibri" w:hAnsi="Calibri"/>
                <w:color w:val="222222"/>
                <w:sz w:val="20"/>
                <w:szCs w:val="20"/>
              </w:rPr>
              <w:t xml:space="preserve">4.08</w:t>
            </w:r>
          </w:p>
        </w:tc>
      </w:tr>
    </w:tbl>
    <w:p>
      <w:pPr>
        <w:keepNext/>
        <w:spacing w:after="80" w:before="200"/>
        <w:jc w:val="center"/>
      </w:pPr>
      <w:r>
        <w:drawing>
          <wp:inline distT="0" distB="0" distL="0" distR="0">
            <wp:extent cx="52101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0175" cy="26098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7. Customer states with the highest late-delivery rates (100+ delivered orders).</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8. Freight Burden</w:t>
      </w:r>
    </w:p>
    <w:p>
      <w:pPr>
        <w:spacing w:after="160" w:line="276"/>
        <w:jc w:val="left"/>
      </w:pPr>
      <w:r>
        <w:rPr>
          <w:rFonts w:ascii="Calibri" w:cs="Calibri" w:eastAsia="Calibri" w:hAnsi="Calibri"/>
          <w:b w:val="false"/>
          <w:bCs w:val="false"/>
          <w:i w:val="false"/>
          <w:iCs w:val="false"/>
          <w:color w:val="222222"/>
          <w:sz w:val="22"/>
          <w:szCs w:val="22"/>
        </w:rPr>
        <w:t xml:space="preserve">Freight burden was measured as freight value divided by item revenue. This is not a full profitability metric because internal cost/margin data is missing, but it is useful as a friction signal. High freight ratio categories may need closer logistics or pricing review.</w:t>
      </w:r>
    </w:p>
    <w:p>
      <w:pPr>
        <w:keepNext/>
        <w:spacing w:after="80" w:before="200"/>
        <w:jc w:val="center"/>
      </w:pPr>
      <w:r>
        <w:drawing>
          <wp:inline distT="0" distB="0" distL="0" distR="0">
            <wp:extent cx="52101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0175" cy="26098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8. Product categories with the highest freight-to-revenue ratio (1,000+ orders).</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9. Business Story</w:t>
      </w:r>
    </w:p>
    <w:p>
      <w:pPr>
        <w:spacing w:after="160" w:line="276"/>
        <w:jc w:val="left"/>
      </w:pPr>
      <w:r>
        <w:rPr>
          <w:rFonts w:ascii="Calibri" w:cs="Calibri" w:eastAsia="Calibri" w:hAnsi="Calibri"/>
          <w:b w:val="false"/>
          <w:bCs w:val="false"/>
          <w:i w:val="false"/>
          <w:iCs w:val="false"/>
          <w:color w:val="222222"/>
          <w:sz w:val="22"/>
          <w:szCs w:val="22"/>
        </w:rPr>
        <w:t xml:space="preserve">Olist is a seller-focused retail technology ecosystem, so its business depends on reliable operations across sellers, orders, logistics, payments, and customer experience. The analysis suggests that delivery performance is a major customer-experience signal. Late deliveries are associated with much lower review scores, and delivery risk varies by geography and possibly by seller/category combinations.</w:t>
      </w:r>
    </w:p>
    <w:p>
      <w:pPr>
        <w:spacing w:after="160" w:line="276"/>
        <w:jc w:val="left"/>
      </w:pPr>
      <w:r>
        <w:rPr>
          <w:rFonts w:ascii="Calibri" w:cs="Calibri" w:eastAsia="Calibri" w:hAnsi="Calibri"/>
          <w:b w:val="false"/>
          <w:bCs w:val="false"/>
          <w:i w:val="false"/>
          <w:iCs w:val="false"/>
          <w:color w:val="222222"/>
          <w:sz w:val="22"/>
          <w:szCs w:val="22"/>
        </w:rPr>
        <w:t xml:space="preserve">This creates a practical business opportunity: instead of only looking at past orders, Olist could monitor operational risk earlier. HVIA could help by building analytics that connect delivery timing, reviews, seller performance, category data, freight burden, and location patterns into one decision system.</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10. Proposed HVIA Solution</w:t>
      </w:r>
    </w:p>
    <w:p>
      <w:pPr>
        <w:pStyle w:val="Heading2"/>
        <w:keepNext/>
        <w:spacing w:after="120" w:before="260"/>
      </w:pPr>
      <w:r>
        <w:rPr>
          <w:rFonts w:ascii="Cambria" w:cs="Cambria" w:eastAsia="Cambria" w:hAnsi="Cambria"/>
          <w:b/>
          <w:bCs/>
          <w:color w:val="2E75B6"/>
          <w:sz w:val="24"/>
          <w:szCs w:val="24"/>
        </w:rPr>
        <w:t xml:space="preserve">Logistics &amp; Customer Satisfaction Intelligence Dashboard</w:t>
      </w:r>
    </w:p>
    <w:p>
      <w:pPr>
        <w:spacing w:after="160" w:line="276"/>
        <w:jc w:val="left"/>
      </w:pPr>
      <w:r>
        <w:rPr>
          <w:rFonts w:ascii="Calibri" w:cs="Calibri" w:eastAsia="Calibri" w:hAnsi="Calibri"/>
          <w:b w:val="false"/>
          <w:bCs w:val="false"/>
          <w:i w:val="false"/>
          <w:iCs w:val="false"/>
          <w:color w:val="222222"/>
          <w:sz w:val="22"/>
          <w:szCs w:val="22"/>
        </w:rPr>
        <w:t xml:space="preserve">The proposed solution is a dashboard and analytics layer that helps Olist monitor operational risk and customer satisfaction. It would start as descriptive analytics and could later become predictive.</w:t>
      </w:r>
    </w:p>
    <w:p>
      <w:pPr>
        <w:pStyle w:val="ListParagraph"/>
        <w:numPr>
          <w:ilvl w:val="0"/>
          <w:numId w:val="2"/>
        </w:numPr>
        <w:spacing w:after="90" w:line="264"/>
      </w:pPr>
      <w:r>
        <w:rPr>
          <w:rFonts w:ascii="Calibri" w:cs="Calibri" w:eastAsia="Calibri" w:hAnsi="Calibri"/>
          <w:color w:val="222222"/>
          <w:sz w:val="22"/>
          <w:szCs w:val="22"/>
        </w:rPr>
        <w:t xml:space="preserve">Track late delivery rate by state, seller, category, and month.</w:t>
      </w:r>
    </w:p>
    <w:p>
      <w:pPr>
        <w:pStyle w:val="ListParagraph"/>
        <w:numPr>
          <w:ilvl w:val="0"/>
          <w:numId w:val="2"/>
        </w:numPr>
        <w:spacing w:after="90" w:line="264"/>
      </w:pPr>
      <w:r>
        <w:rPr>
          <w:rFonts w:ascii="Calibri" w:cs="Calibri" w:eastAsia="Calibri" w:hAnsi="Calibri"/>
          <w:color w:val="222222"/>
          <w:sz w:val="22"/>
          <w:szCs w:val="22"/>
        </w:rPr>
        <w:t xml:space="preserve">Compare review scores for late vs on-time orders.</w:t>
      </w:r>
    </w:p>
    <w:p>
      <w:pPr>
        <w:pStyle w:val="ListParagraph"/>
        <w:numPr>
          <w:ilvl w:val="0"/>
          <w:numId w:val="2"/>
        </w:numPr>
        <w:spacing w:after="90" w:line="264"/>
      </w:pPr>
      <w:r>
        <w:rPr>
          <w:rFonts w:ascii="Calibri" w:cs="Calibri" w:eastAsia="Calibri" w:hAnsi="Calibri"/>
          <w:color w:val="222222"/>
          <w:sz w:val="22"/>
          <w:szCs w:val="22"/>
        </w:rPr>
        <w:t xml:space="preserve">Identify sellers or categories with high order volume but weak satisfaction signals.</w:t>
      </w:r>
    </w:p>
    <w:p>
      <w:pPr>
        <w:pStyle w:val="ListParagraph"/>
        <w:numPr>
          <w:ilvl w:val="0"/>
          <w:numId w:val="2"/>
        </w:numPr>
        <w:spacing w:after="90" w:line="264"/>
      </w:pPr>
      <w:r>
        <w:rPr>
          <w:rFonts w:ascii="Calibri" w:cs="Calibri" w:eastAsia="Calibri" w:hAnsi="Calibri"/>
          <w:color w:val="222222"/>
          <w:sz w:val="22"/>
          <w:szCs w:val="22"/>
        </w:rPr>
        <w:t xml:space="preserve">Monitor freight ratio by category and location as a friction indicator.</w:t>
      </w:r>
    </w:p>
    <w:p>
      <w:pPr>
        <w:pStyle w:val="ListParagraph"/>
        <w:numPr>
          <w:ilvl w:val="0"/>
          <w:numId w:val="2"/>
        </w:numPr>
        <w:spacing w:after="90" w:line="264"/>
      </w:pPr>
      <w:r>
        <w:rPr>
          <w:rFonts w:ascii="Calibri" w:cs="Calibri" w:eastAsia="Calibri" w:hAnsi="Calibri"/>
          <w:color w:val="222222"/>
          <w:sz w:val="22"/>
          <w:szCs w:val="22"/>
        </w:rPr>
        <w:t xml:space="preserve">Flag risky seller/category/location combinations for deeper review.</w:t>
      </w:r>
    </w:p>
    <w:p>
      <w:pPr>
        <w:pStyle w:val="ListParagraph"/>
        <w:numPr>
          <w:ilvl w:val="0"/>
          <w:numId w:val="2"/>
        </w:numPr>
        <w:spacing w:after="90" w:line="264"/>
      </w:pPr>
      <w:r>
        <w:rPr>
          <w:rFonts w:ascii="Calibri" w:cs="Calibri" w:eastAsia="Calibri" w:hAnsi="Calibri"/>
          <w:color w:val="222222"/>
          <w:sz w:val="22"/>
          <w:szCs w:val="22"/>
        </w:rPr>
        <w:t xml:space="preserve">Give management a weekly view of operational bottlenecks and customer experience risks.</w:t>
      </w:r>
    </w:p>
    <w:p>
      <w:pPr>
        <w:pStyle w:val="Heading1"/>
        <w:keepNext/>
        <w:pBdr>
          <w:bottom w:val="single" w:color="2E75B6" w:sz="8" w:space="6"/>
        </w:pBdr>
        <w:spacing w:after="200" w:before="440"/>
      </w:pPr>
      <w:r>
        <w:rPr>
          <w:rFonts w:ascii="Cambria" w:cs="Cambria" w:eastAsia="Cambria" w:hAnsi="Cambria"/>
          <w:b/>
          <w:bCs/>
          <w:color w:val="1F3864"/>
          <w:sz w:val="30"/>
          <w:szCs w:val="30"/>
        </w:rPr>
        <w:t xml:space="preserve">11. Outreach Message Draft</w:t>
      </w:r>
    </w:p>
    <w:tbl>
      <w:tblPr>
        <w:tblW w:type="dxa" w:w="9026"/>
        <w:tblBorders>
          <w:top w:val="single" w:color="2E75B6" w:sz="4"/>
          <w:left w:val="single" w:color="2E75B6" w:sz="28"/>
          <w:bottom w:val="single" w:color="2E75B6" w:sz="4"/>
          <w:right w:val="single" w:color="2E75B6" w:sz="4"/>
          <w:insideH w:val="single" w:color="auto" w:sz="4"/>
          <w:insideV w:val="single" w:color="auto" w:sz="4"/>
        </w:tblBorders>
      </w:tblPr>
      <w:tblGrid>
        <w:gridCol w:w="9026"/>
      </w:tblGrid>
      <w:tr>
        <w:tc>
          <w:tcPr>
            <w:tcW w:type="dxa" w:w="9026"/>
            <w:shd w:fill="EAF0FA" w:color="auto" w:val="clear"/>
            <w:tcMar>
              <w:top w:type="dxa" w:w="160"/>
              <w:left w:type="dxa" w:w="240"/>
              <w:bottom w:type="dxa" w:w="160"/>
              <w:right w:type="dxa" w:w="240"/>
            </w:tcMar>
          </w:tcPr>
          <w:p>
            <w:pPr>
              <w:spacing w:after="60"/>
            </w:pPr>
            <w:r>
              <w:rPr>
                <w:rFonts w:ascii="Calibri" w:cs="Calibri" w:eastAsia="Calibri" w:hAnsi="Calibri"/>
                <w:b w:val="false"/>
                <w:bCs w:val="false"/>
                <w:i w:val="false"/>
                <w:iCs w:val="false"/>
                <w:color w:val="222222"/>
                <w:sz w:val="21"/>
                <w:szCs w:val="21"/>
              </w:rPr>
              <w:t xml:space="preserve">Hi Olist team,</w:t>
            </w:r>
          </w:p>
          <w:p>
            <w:pPr>
              <w:spacing w:after="60"/>
            </w:pPr>
            <w:r>
              <w:rPr>
                <w:rFonts w:ascii="Calibri" w:cs="Calibri" w:eastAsia="Calibri" w:hAnsi="Calibri"/>
                <w:b w:val="false"/>
                <w:bCs w:val="false"/>
                <w:i w:val="false"/>
                <w:iCs w:val="false"/>
                <w:color w:val="222222"/>
                <w:sz w:val="21"/>
                <w:szCs w:val="21"/>
              </w:rPr>
              <w:t xml:space="preserve">I reviewed the public Olist e-commerce dataset and noticed a clear opportunity around delivery performance and customer satisfaction. By connecting order timelines, seller data, freight information, and review scores, it is possible to identify where late deliveries and operational issues may be affecting customer experience.</w:t>
            </w:r>
          </w:p>
          <w:p>
            <w:pPr>
              <w:spacing w:after="60"/>
            </w:pPr>
            <w:r>
              <w:rPr>
                <w:rFonts w:ascii="Calibri" w:cs="Calibri" w:eastAsia="Calibri" w:hAnsi="Calibri"/>
                <w:b w:val="false"/>
                <w:bCs w:val="false"/>
                <w:i w:val="false"/>
                <w:iCs w:val="false"/>
                <w:color w:val="222222"/>
                <w:sz w:val="21"/>
                <w:szCs w:val="21"/>
              </w:rPr>
              <w:t xml:space="preserve">HVIA could help build a logistics and customer satisfaction intelligence dashboard that monitors delivery risk, seller performance, category-level issues, and review trends in one place. This could help Olist detect problems earlier and support sellers more effectively.</w:t>
            </w:r>
          </w:p>
          <w:p>
            <w:pPr>
              <w:spacing w:after="60"/>
            </w:pPr>
            <w:r>
              <w:rPr>
                <w:rFonts w:ascii="Calibri" w:cs="Calibri" w:eastAsia="Calibri" w:hAnsi="Calibri"/>
                <w:b w:val="false"/>
                <w:bCs w:val="false"/>
                <w:i w:val="false"/>
                <w:iCs w:val="false"/>
                <w:color w:val="222222"/>
                <w:sz w:val="21"/>
                <w:szCs w:val="21"/>
              </w:rPr>
              <w:t xml:space="preserve">Would you be open to a short discovery call to explore this idea?</w:t>
            </w:r>
          </w:p>
        </w:tc>
      </w:tr>
    </w:tbl>
    <w:p>
      <w:pPr>
        <w:pStyle w:val="Heading1"/>
        <w:keepNext/>
        <w:pBdr>
          <w:bottom w:val="single" w:color="2E75B6" w:sz="8" w:space="6"/>
        </w:pBdr>
        <w:spacing w:after="200" w:before="440"/>
      </w:pPr>
      <w:r>
        <w:rPr>
          <w:rFonts w:ascii="Cambria" w:cs="Cambria" w:eastAsia="Cambria" w:hAnsi="Cambria"/>
          <w:b/>
          <w:bCs/>
          <w:color w:val="1F3864"/>
          <w:sz w:val="30"/>
          <w:szCs w:val="30"/>
        </w:rPr>
        <w:t xml:space="preserve">12. Limitations</w:t>
      </w:r>
    </w:p>
    <w:p>
      <w:pPr>
        <w:pStyle w:val="ListParagraph"/>
        <w:numPr>
          <w:ilvl w:val="0"/>
          <w:numId w:val="2"/>
        </w:numPr>
        <w:spacing w:after="90" w:line="264"/>
      </w:pPr>
      <w:r>
        <w:rPr>
          <w:rFonts w:ascii="Calibri" w:cs="Calibri" w:eastAsia="Calibri" w:hAnsi="Calibri"/>
          <w:color w:val="222222"/>
          <w:sz w:val="22"/>
          <w:szCs w:val="22"/>
        </w:rPr>
        <w:t xml:space="preserve">The dataset is public and historical, covering 2016-2018, so it may not represent Olist today.</w:t>
      </w:r>
    </w:p>
    <w:p>
      <w:pPr>
        <w:pStyle w:val="ListParagraph"/>
        <w:numPr>
          <w:ilvl w:val="0"/>
          <w:numId w:val="2"/>
        </w:numPr>
        <w:spacing w:after="90" w:line="264"/>
      </w:pPr>
      <w:r>
        <w:rPr>
          <w:rFonts w:ascii="Calibri" w:cs="Calibri" w:eastAsia="Calibri" w:hAnsi="Calibri"/>
          <w:color w:val="222222"/>
          <w:sz w:val="22"/>
          <w:szCs w:val="22"/>
        </w:rPr>
        <w:t xml:space="preserve">The analysis shows relationships, not guaranteed causation.</w:t>
      </w:r>
    </w:p>
    <w:p>
      <w:pPr>
        <w:pStyle w:val="ListParagraph"/>
        <w:numPr>
          <w:ilvl w:val="0"/>
          <w:numId w:val="2"/>
        </w:numPr>
        <w:spacing w:after="90" w:line="264"/>
      </w:pPr>
      <w:r>
        <w:rPr>
          <w:rFonts w:ascii="Calibri" w:cs="Calibri" w:eastAsia="Calibri" w:hAnsi="Calibri"/>
          <w:color w:val="222222"/>
          <w:sz w:val="22"/>
          <w:szCs w:val="22"/>
        </w:rPr>
        <w:t xml:space="preserve">Internal business data such as margin, operating cost, support tickets, and current strategy is not available.</w:t>
      </w:r>
    </w:p>
    <w:p>
      <w:pPr>
        <w:pStyle w:val="ListParagraph"/>
        <w:numPr>
          <w:ilvl w:val="0"/>
          <w:numId w:val="2"/>
        </w:numPr>
        <w:spacing w:after="90" w:line="264"/>
      </w:pPr>
      <w:r>
        <w:rPr>
          <w:rFonts w:ascii="Calibri" w:cs="Calibri" w:eastAsia="Calibri" w:hAnsi="Calibri"/>
          <w:color w:val="222222"/>
          <w:sz w:val="22"/>
          <w:szCs w:val="22"/>
        </w:rPr>
        <w:t xml:space="preserve">Seller and route analysis could be deeper with current logistics partner data and real internal order events.</w:t>
      </w:r>
    </w:p>
    <w:p>
      <w:pPr>
        <w:pStyle w:val="ListParagraph"/>
        <w:numPr>
          <w:ilvl w:val="0"/>
          <w:numId w:val="2"/>
        </w:numPr>
        <w:spacing w:after="90" w:line="264"/>
      </w:pPr>
      <w:r>
        <w:rPr>
          <w:rFonts w:ascii="Calibri" w:cs="Calibri" w:eastAsia="Calibri" w:hAnsi="Calibri"/>
          <w:color w:val="222222"/>
          <w:sz w:val="22"/>
          <w:szCs w:val="22"/>
        </w:rPr>
        <w:t xml:space="preserve">A production solution would need current data, stakeholder interviews, and business validation.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6"/>
      </w:pBdr>
      <w:jc w:val="right"/>
    </w:pPr>
    <w:r>
      <w:rPr>
        <w:rFonts w:ascii="Calibri" w:cs="Calibri" w:eastAsia="Calibri" w:hAnsi="Calibri"/>
        <w:caps/>
        <w:color w:val="8C8C8C"/>
        <w:sz w:val="16"/>
        <w:szCs w:val="16"/>
      </w:rPr>
      <w:t xml:space="preserve">OLIST BUSINESS DISCOVERY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8a51b1003319e36a1c10c3ac35f9d0f040a67be.png"/><Relationship Id="rId12" Type="http://schemas.openxmlformats.org/officeDocument/2006/relationships/image" Target="media/77563910b19ccc506272dd0497f42d5fd6a65e73.png"/><Relationship Id="rId13" Type="http://schemas.openxmlformats.org/officeDocument/2006/relationships/image" Target="media/4e878d88080456298b6cc9dc7dfbfe2d91c17492.png"/><Relationship Id="rId14" Type="http://schemas.openxmlformats.org/officeDocument/2006/relationships/image" Target="media/f0e47b58f539367e48604932d2945f95c920986c.png"/><Relationship Id="rId15" Type="http://schemas.openxmlformats.org/officeDocument/2006/relationships/image" Target="media/951520a0194803453c3a456b7773cab5a8a2d907.png"/><Relationship Id="rId16" Type="http://schemas.openxmlformats.org/officeDocument/2006/relationships/image" Target="media/8c9d7c1ae166c8af0beb1d54c22349ed3315c8dc.png"/><Relationship Id="rId17" Type="http://schemas.openxmlformats.org/officeDocument/2006/relationships/image" Target="media/a00c04f15d2aa5b89d13676898f9aee7cd182555.png"/><Relationship Id="rId18" Type="http://schemas.openxmlformats.org/officeDocument/2006/relationships/image" Target="media/71d5899fa028c3f2c4648837c2c85c1189f91c1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2026-09-26T23:52:06.575Z</dcterms:created>
  <dcterms:modified xsi:type="dcterms:W3CDTF">2026-09-26T23:52:06.575Z</dcterms:modified>
</cp:coreProperties>
</file>

<file path=docProps/custom.xml><?xml version="1.0" encoding="utf-8"?>
<Properties xmlns="http://schemas.openxmlformats.org/officeDocument/2006/custom-properties" xmlns:vt="http://schemas.openxmlformats.org/officeDocument/2006/docPropsVTypes"/>
</file>