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spacing w:after="200" w:before="160" w:line="312" w:lineRule="auto"/>
        <w:jc w:val="center"/>
      </w:pPr>
      <w:r>
        <w:rPr>
          <w:rFonts w:ascii="宋体" w:eastAsia="宋体" w:hAnsi="宋体"/>
          <w:b/>
          <w:sz w:val="40"/>
        </w:rPr>
        <w:t>食堂承包运营服务合同</w:t>
      </w:r>
    </w:p>
    <w:p>
      <w:pPr>
        <w:spacing w:after="320" w:before="0" w:line="312" w:lineRule="auto"/>
        <w:jc w:val="center"/>
      </w:pPr>
      <w:r>
        <w:rPr>
          <w:rFonts w:ascii="宋体" w:eastAsia="宋体" w:hAnsi="宋体"/>
          <w:b w:val="0"/>
          <w:sz w:val="21"/>
        </w:rPr>
        <w:t>合同编号：MD-CY-2026-0428</w:t>
      </w:r>
    </w:p>
    <w:p>
      <w:pPr>
        <w:spacing w:after="240" w:before="0" w:line="312" w:lineRule="auto"/>
        <w:jc w:val="center"/>
      </w:pPr>
      <w:r>
        <w:rPr>
          <w:rFonts w:ascii="宋体" w:eastAsia="宋体" w:hAnsi="宋体"/>
          <w:b w:val="0"/>
          <w:sz w:val="20"/>
        </w:rPr>
        <w:t>提示：以下内容为模拟真实业务场景编写，用于合同审查、风险识别和文档处理练习。</w:t>
      </w:r>
    </w:p>
    <w:tbl>
      <w:tblPr>
        <w:tblW w:type="auto" w:w="0"/>
        <w:jc w:val="center"/>
        <w:tblLook w:firstColumn="1" w:firstRow="1" w:lastColumn="0" w:lastRow="0" w:noHBand="0" w:noVBand="1" w:val="04A0"/>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Pr>
      <w:tblGrid>
        <w:gridCol w:w="2239"/>
        <w:gridCol w:w="2239"/>
        <w:gridCol w:w="2239"/>
        <w:gridCol w:w="2239"/>
      </w:tblGrid>
      <w:tr>
        <w:tc>
          <w:tcPr>
            <w:tcW w:type="dxa" w:w="1814"/>
            <w:vAlign w:val="center"/>
            <w:shd w:fill="EAF2F8"/>
          </w:tcPr>
          <w:p>
            <w:pPr>
              <w:spacing w:after="0"/>
            </w:pPr>
            <w:r/>
            <w:r>
              <w:rPr>
                <w:rFonts w:ascii="宋体" w:eastAsia="宋体" w:hAnsi="宋体"/>
                <w:b/>
                <w:sz w:val="21"/>
              </w:rPr>
              <w:t>甲方（委托方）</w:t>
            </w:r>
          </w:p>
        </w:tc>
        <w:tc>
          <w:tcPr>
            <w:tcW w:type="dxa" w:w="3402"/>
            <w:vAlign w:val="center"/>
          </w:tcPr>
          <w:p>
            <w:pPr>
              <w:spacing w:after="0"/>
            </w:pPr>
            <w:r/>
            <w:r>
              <w:rPr>
                <w:rFonts w:ascii="宋体" w:eastAsia="宋体" w:hAnsi="宋体"/>
                <w:b w:val="0"/>
                <w:sz w:val="21"/>
              </w:rPr>
              <w:t>上海明德智能装备有限公司</w:t>
            </w:r>
          </w:p>
        </w:tc>
        <w:tc>
          <w:tcPr>
            <w:tcW w:type="dxa" w:w="1814"/>
            <w:vAlign w:val="center"/>
            <w:shd w:fill="EAF2F8"/>
          </w:tcPr>
          <w:p>
            <w:pPr>
              <w:spacing w:after="0"/>
            </w:pPr>
            <w:r/>
            <w:r>
              <w:rPr>
                <w:rFonts w:ascii="宋体" w:eastAsia="宋体" w:hAnsi="宋体"/>
                <w:b/>
                <w:sz w:val="21"/>
              </w:rPr>
              <w:t>统一社会信用代码</w:t>
            </w:r>
          </w:p>
        </w:tc>
        <w:tc>
          <w:tcPr>
            <w:tcW w:type="dxa" w:w="2835"/>
            <w:vAlign w:val="center"/>
          </w:tcPr>
          <w:p>
            <w:pPr>
              <w:spacing w:after="0"/>
            </w:pPr>
            <w:r/>
            <w:r>
              <w:rPr>
                <w:rFonts w:ascii="宋体" w:eastAsia="宋体" w:hAnsi="宋体"/>
                <w:b w:val="0"/>
                <w:sz w:val="21"/>
              </w:rPr>
              <w:t>91310000MA1K88MD3X</w:t>
            </w:r>
          </w:p>
        </w:tc>
      </w:tr>
      <w:tr>
        <w:tc>
          <w:tcPr>
            <w:tcW w:type="dxa" w:w="1814"/>
            <w:vAlign w:val="center"/>
            <w:shd w:fill="EAF2F8"/>
          </w:tcPr>
          <w:p>
            <w:pPr>
              <w:spacing w:after="0"/>
            </w:pPr>
            <w:r/>
            <w:r>
              <w:rPr>
                <w:rFonts w:ascii="宋体" w:eastAsia="宋体" w:hAnsi="宋体"/>
                <w:b/>
                <w:sz w:val="21"/>
              </w:rPr>
              <w:t>住所</w:t>
            </w:r>
          </w:p>
        </w:tc>
        <w:tc>
          <w:tcPr>
            <w:tcW w:type="dxa" w:w="3402"/>
            <w:vAlign w:val="center"/>
          </w:tcPr>
          <w:p>
            <w:pPr>
              <w:spacing w:after="0"/>
            </w:pPr>
            <w:r/>
            <w:r>
              <w:rPr>
                <w:rFonts w:ascii="宋体" w:eastAsia="宋体" w:hAnsi="宋体"/>
                <w:b w:val="0"/>
                <w:sz w:val="21"/>
              </w:rPr>
              <w:t>上海市浦东新区临港新片区海基六路 288 号</w:t>
            </w:r>
          </w:p>
        </w:tc>
        <w:tc>
          <w:tcPr>
            <w:tcW w:type="dxa" w:w="1814"/>
            <w:vAlign w:val="center"/>
            <w:shd w:fill="EAF2F8"/>
          </w:tcPr>
          <w:p>
            <w:pPr>
              <w:spacing w:after="0"/>
            </w:pPr>
            <w:r/>
            <w:r>
              <w:rPr>
                <w:rFonts w:ascii="宋体" w:eastAsia="宋体" w:hAnsi="宋体"/>
                <w:b/>
                <w:sz w:val="21"/>
              </w:rPr>
              <w:t>联系人</w:t>
            </w:r>
          </w:p>
        </w:tc>
        <w:tc>
          <w:tcPr>
            <w:tcW w:type="dxa" w:w="2835"/>
            <w:vAlign w:val="center"/>
          </w:tcPr>
          <w:p>
            <w:pPr>
              <w:spacing w:after="0"/>
            </w:pPr>
            <w:r/>
            <w:r>
              <w:rPr>
                <w:rFonts w:ascii="宋体" w:eastAsia="宋体" w:hAnsi="宋体"/>
                <w:b w:val="0"/>
                <w:sz w:val="21"/>
              </w:rPr>
              <w:t>周    诚</w:t>
            </w:r>
          </w:p>
        </w:tc>
      </w:tr>
      <w:tr>
        <w:tc>
          <w:tcPr>
            <w:tcW w:type="dxa" w:w="1814"/>
            <w:vAlign w:val="center"/>
            <w:shd w:fill="EAF2F8"/>
          </w:tcPr>
          <w:p>
            <w:pPr>
              <w:spacing w:after="0"/>
            </w:pPr>
            <w:r/>
            <w:r>
              <w:rPr>
                <w:rFonts w:ascii="宋体" w:eastAsia="宋体" w:hAnsi="宋体"/>
                <w:b/>
                <w:sz w:val="21"/>
              </w:rPr>
              <w:t>乙方（承包方）</w:t>
            </w:r>
          </w:p>
        </w:tc>
        <w:tc>
          <w:tcPr>
            <w:tcW w:type="dxa" w:w="3402"/>
            <w:vAlign w:val="center"/>
          </w:tcPr>
          <w:p>
            <w:pPr>
              <w:spacing w:after="0"/>
            </w:pPr>
            <w:r/>
            <w:r>
              <w:rPr>
                <w:rFonts w:ascii="宋体" w:eastAsia="宋体" w:hAnsi="宋体"/>
                <w:b w:val="0"/>
                <w:sz w:val="21"/>
              </w:rPr>
              <w:t>上海禾悦餐饮管理有限公司</w:t>
            </w:r>
          </w:p>
        </w:tc>
        <w:tc>
          <w:tcPr>
            <w:tcW w:type="dxa" w:w="1814"/>
            <w:vAlign w:val="center"/>
            <w:shd w:fill="EAF2F8"/>
          </w:tcPr>
          <w:p>
            <w:pPr>
              <w:spacing w:after="0"/>
            </w:pPr>
            <w:r/>
            <w:r>
              <w:rPr>
                <w:rFonts w:ascii="宋体" w:eastAsia="宋体" w:hAnsi="宋体"/>
                <w:b/>
                <w:sz w:val="21"/>
              </w:rPr>
              <w:t>统一社会信用代码</w:t>
            </w:r>
          </w:p>
        </w:tc>
        <w:tc>
          <w:tcPr>
            <w:tcW w:type="dxa" w:w="2835"/>
            <w:vAlign w:val="center"/>
          </w:tcPr>
          <w:p>
            <w:pPr>
              <w:spacing w:after="0"/>
            </w:pPr>
            <w:r/>
            <w:r>
              <w:rPr>
                <w:rFonts w:ascii="宋体" w:eastAsia="宋体" w:hAnsi="宋体"/>
                <w:b w:val="0"/>
                <w:sz w:val="21"/>
              </w:rPr>
              <w:t>91310115MA1HYYC39P</w:t>
            </w:r>
          </w:p>
        </w:tc>
      </w:tr>
      <w:tr>
        <w:tc>
          <w:tcPr>
            <w:tcW w:type="dxa" w:w="1814"/>
            <w:vAlign w:val="center"/>
            <w:shd w:fill="EAF2F8"/>
          </w:tcPr>
          <w:p>
            <w:pPr>
              <w:spacing w:after="0"/>
            </w:pPr>
            <w:r/>
            <w:r>
              <w:rPr>
                <w:rFonts w:ascii="宋体" w:eastAsia="宋体" w:hAnsi="宋体"/>
                <w:b/>
                <w:sz w:val="21"/>
              </w:rPr>
              <w:t>住所</w:t>
            </w:r>
          </w:p>
        </w:tc>
        <w:tc>
          <w:tcPr>
            <w:tcW w:type="dxa" w:w="3402"/>
            <w:vAlign w:val="center"/>
          </w:tcPr>
          <w:p>
            <w:pPr>
              <w:spacing w:after="0"/>
            </w:pPr>
            <w:r/>
            <w:r>
              <w:rPr>
                <w:rFonts w:ascii="宋体" w:eastAsia="宋体" w:hAnsi="宋体"/>
                <w:b w:val="0"/>
                <w:sz w:val="21"/>
              </w:rPr>
              <w:t>上海市闵行区申虹路 988 号 3 幢 502 室</w:t>
            </w:r>
          </w:p>
        </w:tc>
        <w:tc>
          <w:tcPr>
            <w:tcW w:type="dxa" w:w="1814"/>
            <w:vAlign w:val="center"/>
            <w:shd w:fill="EAF2F8"/>
          </w:tcPr>
          <w:p>
            <w:pPr>
              <w:spacing w:after="0"/>
            </w:pPr>
            <w:r/>
            <w:r>
              <w:rPr>
                <w:rFonts w:ascii="宋体" w:eastAsia="宋体" w:hAnsi="宋体"/>
                <w:b/>
                <w:sz w:val="21"/>
              </w:rPr>
              <w:t>联系人</w:t>
            </w:r>
          </w:p>
        </w:tc>
        <w:tc>
          <w:tcPr>
            <w:tcW w:type="dxa" w:w="2835"/>
            <w:vAlign w:val="center"/>
          </w:tcPr>
          <w:p>
            <w:pPr>
              <w:spacing w:after="0"/>
            </w:pPr>
            <w:r/>
            <w:r>
              <w:rPr>
                <w:rFonts w:ascii="宋体" w:eastAsia="宋体" w:hAnsi="宋体"/>
                <w:b w:val="0"/>
                <w:sz w:val="21"/>
              </w:rPr>
              <w:t>林    佳</w:t>
            </w:r>
          </w:p>
        </w:tc>
      </w:tr>
      <w:tr>
        <w:tc>
          <w:tcPr>
            <w:tcW w:type="dxa" w:w="1814"/>
            <w:vAlign w:val="center"/>
            <w:shd w:fill="EAF2F8"/>
          </w:tcPr>
          <w:p>
            <w:pPr>
              <w:spacing w:after="0"/>
            </w:pPr>
            <w:r/>
            <w:r>
              <w:rPr>
                <w:rFonts w:ascii="宋体" w:eastAsia="宋体" w:hAnsi="宋体"/>
                <w:b/>
                <w:sz w:val="21"/>
              </w:rPr>
              <w:t>项目地点</w:t>
            </w:r>
          </w:p>
        </w:tc>
        <w:tc>
          <w:tcPr>
            <w:tcW w:type="dxa" w:w="3402"/>
            <w:vAlign w:val="center"/>
          </w:tcPr>
          <w:p>
            <w:pPr>
              <w:spacing w:after="0"/>
            </w:pPr>
            <w:r/>
            <w:r>
              <w:rPr>
                <w:rFonts w:ascii="宋体" w:eastAsia="宋体" w:hAnsi="宋体"/>
                <w:b w:val="0"/>
                <w:sz w:val="21"/>
              </w:rPr>
              <w:t>甲方临港厂区员工食堂一层及后厨区域</w:t>
            </w:r>
          </w:p>
        </w:tc>
        <w:tc>
          <w:tcPr>
            <w:tcW w:type="dxa" w:w="1814"/>
            <w:vAlign w:val="center"/>
            <w:shd w:fill="EAF2F8"/>
          </w:tcPr>
          <w:p>
            <w:pPr>
              <w:spacing w:after="0"/>
            </w:pPr>
            <w:r/>
            <w:r>
              <w:rPr>
                <w:rFonts w:ascii="宋体" w:eastAsia="宋体" w:hAnsi="宋体"/>
                <w:b/>
                <w:sz w:val="21"/>
              </w:rPr>
              <w:t>合同编号</w:t>
            </w:r>
          </w:p>
        </w:tc>
        <w:tc>
          <w:tcPr>
            <w:tcW w:type="dxa" w:w="2835"/>
            <w:vAlign w:val="center"/>
          </w:tcPr>
          <w:p>
            <w:pPr>
              <w:spacing w:after="0"/>
            </w:pPr>
            <w:r/>
            <w:r>
              <w:rPr>
                <w:rFonts w:ascii="宋体" w:eastAsia="宋体" w:hAnsi="宋体"/>
                <w:b w:val="0"/>
                <w:sz w:val="21"/>
              </w:rPr>
              <w:t>MD-CY-2026-0428</w:t>
            </w:r>
          </w:p>
        </w:tc>
      </w:tr>
    </w:tbl>
    <w:p>
      <w:pPr>
        <w:spacing w:after="40" w:before="0" w:line="312" w:lineRule="auto"/>
      </w:pPr>
      <w:r>
        <w:rPr>
          <w:rFonts w:ascii="宋体" w:eastAsia="宋体" w:hAnsi="宋体"/>
          <w:b w:val="0"/>
          <w:sz w:val="21"/>
        </w:rPr>
      </w:r>
    </w:p>
    <w:p>
      <w:pPr>
        <w:spacing w:after="200" w:before="0" w:line="312" w:lineRule="auto"/>
      </w:pPr>
      <w:r>
        <w:rPr>
          <w:rFonts w:ascii="宋体" w:eastAsia="宋体" w:hAnsi="宋体"/>
          <w:b w:val="0"/>
          <w:sz w:val="21"/>
        </w:rPr>
        <w:t>鉴于甲方因员工就餐保障及厂区后勤管理需要，拟将员工食堂委托具有餐饮管理经验的第三方运营；乙方具备相应餐饮服务能力、人员配置和食品安全管理条件。双方经平等协商，就甲方员工食堂承包运营服务事宜订立本合同，共同遵照执行。</w:t>
      </w:r>
    </w:p>
    <w:p>
      <w:pPr>
        <w:spacing w:after="120" w:before="240"/>
      </w:pPr>
      <w:r>
        <w:rPr>
          <w:rFonts w:ascii="宋体" w:eastAsia="宋体" w:hAnsi="宋体"/>
          <w:b/>
          <w:sz w:val="28"/>
        </w:rPr>
        <w:t>第一条 项目背景与承包范围</w:t>
      </w:r>
    </w:p>
    <w:p>
      <w:pPr>
        <w:spacing w:after="100" w:before="0" w:line="312" w:lineRule="auto"/>
      </w:pPr>
      <w:r>
        <w:rPr>
          <w:rFonts w:ascii="宋体" w:eastAsia="宋体" w:hAnsi="宋体"/>
          <w:b w:val="0"/>
          <w:sz w:val="21"/>
        </w:rPr>
        <w:t>1.1 甲方为保障约 650 名员工的日常就餐需求，将位于临港厂区的一层员工食堂、后厨、仓储间、洗消间及配套设备委托乙方运营管理。</w:t>
      </w:r>
    </w:p>
    <w:p>
      <w:pPr>
        <w:spacing w:after="100" w:before="0" w:line="312" w:lineRule="auto"/>
      </w:pPr>
      <w:r>
        <w:rPr>
          <w:rFonts w:ascii="宋体" w:eastAsia="宋体" w:hAnsi="宋体"/>
          <w:b w:val="0"/>
          <w:sz w:val="21"/>
        </w:rPr>
        <w:t>1.2 乙方负责早餐、午餐、晚餐、加班餐、会议简餐及临时接待餐的制作、供应、现场服务、卫生保洁、食品安全管理及相关台账维护。</w:t>
      </w:r>
    </w:p>
    <w:p>
      <w:pPr>
        <w:spacing w:after="100" w:before="0" w:line="312" w:lineRule="auto"/>
      </w:pPr>
      <w:r>
        <w:rPr>
          <w:rFonts w:ascii="宋体" w:eastAsia="宋体" w:hAnsi="宋体"/>
          <w:b w:val="0"/>
          <w:sz w:val="21"/>
        </w:rPr>
        <w:t>1.3 本合同所称食堂运营不包含甲方厂区小卖部、咖啡角及自动售货机经营权；如需新增服务范围，双方应另行书面确认。</w:t>
      </w:r>
    </w:p>
    <w:p>
      <w:pPr>
        <w:spacing w:after="120" w:before="240"/>
      </w:pPr>
      <w:r>
        <w:rPr>
          <w:rFonts w:ascii="宋体" w:eastAsia="宋体" w:hAnsi="宋体"/>
          <w:b/>
          <w:sz w:val="28"/>
        </w:rPr>
        <w:t>第二条 合同期限</w:t>
      </w:r>
    </w:p>
    <w:p>
      <w:pPr>
        <w:spacing w:after="100" w:before="0" w:line="312" w:lineRule="auto"/>
      </w:pPr>
      <w:r>
        <w:rPr>
          <w:rFonts w:ascii="宋体" w:eastAsia="宋体" w:hAnsi="宋体"/>
          <w:b w:val="0"/>
          <w:sz w:val="21"/>
        </w:rPr>
        <w:t>2.1 本合同期限自 2026 年 5 月 1 日起至 2027 年 4 月 30 日止。</w:t>
      </w:r>
    </w:p>
    <w:p>
      <w:pPr>
        <w:spacing w:after="100" w:before="0" w:line="312" w:lineRule="auto"/>
      </w:pPr>
      <w:r>
        <w:rPr>
          <w:rFonts w:ascii="宋体" w:eastAsia="宋体" w:hAnsi="宋体"/>
          <w:b w:val="0"/>
          <w:sz w:val="21"/>
        </w:rPr>
        <w:t>2.2 合同期满前 60 日，双方可根据履约评价、员工满意度及成本变化协商续签。任何一方未提出续签或续签未达成一致的，本合同到期自然终止。协商不成且甲方无正当理由拒绝续签的，甲方应提前30日向乙方书面说明理由，乙方有权要求甲方支付不超过本合同总金额20%的过渡补偿</w:t>
      </w:r>
    </w:p>
    <w:p>
      <w:pPr>
        <w:spacing w:after="100" w:before="0" w:line="312" w:lineRule="auto"/>
      </w:pPr>
      <w:r>
        <w:rPr>
          <w:rFonts w:ascii="宋体" w:eastAsia="宋体" w:hAnsi="宋体"/>
          <w:b w:val="0"/>
          <w:sz w:val="21"/>
        </w:rPr>
        <w:t>2.3 乙方应于合同生效日前完成进场准备，包括人员健康证、食品经营备案材料、保险凭证、菜单计划及供应商资质文件提交。</w:t>
      </w:r>
    </w:p>
    <w:p>
      <w:pPr>
        <w:spacing w:after="120" w:before="240"/>
      </w:pPr>
      <w:r>
        <w:rPr>
          <w:rFonts w:ascii="宋体" w:eastAsia="宋体" w:hAnsi="宋体"/>
          <w:b/>
          <w:sz w:val="28"/>
        </w:rPr>
        <w:t>第三条 供餐标准与服务要求</w:t>
      </w:r>
    </w:p>
    <w:p>
      <w:pPr>
        <w:spacing w:after="100" w:before="0" w:line="312" w:lineRule="auto"/>
      </w:pPr>
      <w:r>
        <w:rPr>
          <w:rFonts w:ascii="宋体" w:eastAsia="宋体" w:hAnsi="宋体"/>
          <w:b w:val="0"/>
          <w:sz w:val="21"/>
        </w:rPr>
        <w:t>3.1 工作日供餐时间原则上为：早餐 7:00 至 8:30，午餐 11:20 至 13:00，晚餐 17:20 至 18:40；加班餐按甲方提前 4 小时通知执行。</w:t>
      </w:r>
    </w:p>
    <w:p>
      <w:pPr>
        <w:spacing w:after="100" w:before="0" w:line="312" w:lineRule="auto"/>
      </w:pPr>
      <w:r>
        <w:rPr>
          <w:rFonts w:ascii="宋体" w:eastAsia="宋体" w:hAnsi="宋体"/>
          <w:b w:val="0"/>
          <w:sz w:val="21"/>
        </w:rPr>
        <w:t>3.2 午餐标准应包含不少于两荤两素一汤一主食，并保留不少于 1 个清淡窗口和 1 个面档或特色档口。</w:t>
      </w:r>
    </w:p>
    <w:p>
      <w:pPr>
        <w:spacing w:after="100" w:before="0" w:line="312" w:lineRule="auto"/>
      </w:pPr>
      <w:r>
        <w:rPr>
          <w:rFonts w:ascii="宋体" w:eastAsia="宋体" w:hAnsi="宋体"/>
          <w:b w:val="0"/>
          <w:sz w:val="21"/>
        </w:rPr>
        <w:t>3.3 乙方应每周五 17:00 前向甲方提交下一周菜单。菜单调整涉及价格、供应量或主要食材变化的，应取得甲方食堂管理员确认。</w:t>
      </w:r>
    </w:p>
    <w:p>
      <w:pPr>
        <w:spacing w:after="100" w:before="0" w:line="312" w:lineRule="auto"/>
      </w:pPr>
      <w:r>
        <w:rPr>
          <w:rFonts w:ascii="宋体" w:eastAsia="宋体" w:hAnsi="宋体"/>
          <w:b w:val="0"/>
          <w:sz w:val="21"/>
        </w:rPr>
        <w:t>3.4 乙方应确保饭菜温度、出餐速度、窗口秩序、餐具洁净度符合日常运营要求；高峰时段单窗口排队时间原则上不超过 8 分钟。</w:t>
      </w:r>
    </w:p>
    <w:p>
      <w:pPr>
        <w:spacing w:after="120" w:before="240"/>
      </w:pPr>
      <w:r>
        <w:rPr>
          <w:rFonts w:ascii="宋体" w:eastAsia="宋体" w:hAnsi="宋体"/>
          <w:b/>
          <w:sz w:val="28"/>
        </w:rPr>
        <w:t>第四条 食品安全与卫生管理</w:t>
      </w:r>
    </w:p>
    <w:p>
      <w:pPr>
        <w:spacing w:after="100" w:before="0" w:line="312" w:lineRule="auto"/>
      </w:pPr>
      <w:r>
        <w:rPr>
          <w:rFonts w:ascii="宋体" w:eastAsia="宋体" w:hAnsi="宋体"/>
          <w:b w:val="0"/>
          <w:sz w:val="21"/>
        </w:rPr>
        <w:t>4.1 乙方应严格遵守《中华人民共和国食品安全法》及地方餐饮服务管理规定，建立进货查验、索证索票、留样、消毒、虫害控制、废弃物处理等制度。</w:t>
      </w:r>
    </w:p>
    <w:p>
      <w:pPr>
        <w:spacing w:after="100" w:before="0" w:line="312" w:lineRule="auto"/>
      </w:pPr>
      <w:r>
        <w:rPr>
          <w:rFonts w:ascii="宋体" w:eastAsia="宋体" w:hAnsi="宋体"/>
          <w:b w:val="0"/>
          <w:sz w:val="21"/>
        </w:rPr>
        <w:t>4.2 每餐食品留样不得少于 125 克，留样时间不少于 48 小时，并按日期、餐次、品名、操作人进行标识。</w:t>
      </w:r>
    </w:p>
    <w:p>
      <w:pPr>
        <w:spacing w:after="100" w:before="0" w:line="312" w:lineRule="auto"/>
      </w:pPr>
      <w:r>
        <w:rPr>
          <w:rFonts w:ascii="宋体" w:eastAsia="宋体" w:hAnsi="宋体"/>
          <w:b w:val="0"/>
          <w:sz w:val="21"/>
        </w:rPr>
        <w:t>4.3 乙方不得采购、加工、使用过期、变质、来源不明或不符合食品安全标准的原材料。甲方有权抽查供应商资质、采购凭证及冷链记录。</w:t>
      </w:r>
    </w:p>
    <w:p>
      <w:pPr>
        <w:spacing w:after="100" w:before="0" w:line="312" w:lineRule="auto"/>
      </w:pPr>
      <w:r>
        <w:rPr>
          <w:rFonts w:ascii="宋体" w:eastAsia="宋体" w:hAnsi="宋体"/>
          <w:b w:val="0"/>
          <w:sz w:val="21"/>
        </w:rPr>
        <w:t>4.4 因乙方原因发生食品安全事故、群体性投诉或行政处罚的，乙方应立即启动应急预案，并承担由此产生的赔偿、处罚、检测、停业整改费用；赔偿范围限于直接经济损失（包括医疗费、罚款、检测费），声誉损失以甲方实际遭受的媒体曝光或监管通报造成的可量化损失为依据，最高不超过本合同总金额的30%。</w:t>
      </w:r>
    </w:p>
    <w:p>
      <w:pPr>
        <w:spacing w:after="120" w:before="240"/>
      </w:pPr>
      <w:r>
        <w:rPr>
          <w:rFonts w:ascii="宋体" w:eastAsia="宋体" w:hAnsi="宋体"/>
          <w:b/>
          <w:sz w:val="28"/>
        </w:rPr>
        <w:t>第五条 人员配置与现场管理</w:t>
      </w:r>
    </w:p>
    <w:p>
      <w:pPr>
        <w:spacing w:after="100" w:before="0" w:line="312" w:lineRule="auto"/>
      </w:pPr>
      <w:r>
        <w:rPr>
          <w:rFonts w:ascii="宋体" w:eastAsia="宋体" w:hAnsi="宋体"/>
          <w:b w:val="0"/>
          <w:sz w:val="21"/>
        </w:rPr>
        <w:t>5.1 乙方应配置项目经理 1 名、厨师长 1 名、厨师不少于 4 名、切配及服务人员不少于 10 名，实际人员配置应满足供餐需求。</w:t>
      </w:r>
    </w:p>
    <w:p>
      <w:pPr>
        <w:spacing w:after="100" w:before="0" w:line="312" w:lineRule="auto"/>
      </w:pPr>
      <w:r>
        <w:rPr>
          <w:rFonts w:ascii="宋体" w:eastAsia="宋体" w:hAnsi="宋体"/>
          <w:b w:val="0"/>
          <w:sz w:val="21"/>
        </w:rPr>
        <w:t>5.2 乙方人员应持有效健康证明上岗，统一着装、佩戴工牌、帽子和口罩，进入甲方厂区应遵守门禁、安全、保密及消防制度。</w:t>
      </w:r>
    </w:p>
    <w:p>
      <w:pPr>
        <w:spacing w:after="100" w:before="0" w:line="312" w:lineRule="auto"/>
      </w:pPr>
      <w:r>
        <w:rPr>
          <w:rFonts w:ascii="宋体" w:eastAsia="宋体" w:hAnsi="宋体"/>
          <w:b w:val="0"/>
          <w:sz w:val="21"/>
        </w:rPr>
        <w:t>5.3 乙方更换项目经理或厨师长的，应提前 7 日书面通知甲方；甲方认为乙方人员不适合继续服务的，有权要求乙方在 3 个工作日内更换。</w:t>
      </w:r>
    </w:p>
    <w:p>
      <w:pPr>
        <w:spacing w:after="120" w:before="240"/>
      </w:pPr>
      <w:r>
        <w:rPr>
          <w:rFonts w:ascii="宋体" w:eastAsia="宋体" w:hAnsi="宋体"/>
          <w:b/>
          <w:sz w:val="28"/>
        </w:rPr>
        <w:t>第六条 费用、结算与发票</w:t>
      </w:r>
    </w:p>
    <w:p>
      <w:pPr>
        <w:spacing w:after="100" w:before="0" w:line="312" w:lineRule="auto"/>
      </w:pPr>
      <w:r>
        <w:rPr>
          <w:rFonts w:ascii="宋体" w:eastAsia="宋体" w:hAnsi="宋体"/>
          <w:b w:val="0"/>
          <w:sz w:val="21"/>
        </w:rPr>
        <w:t>6.1 员工餐采取甲方补贴加员工自付模式。早餐基准价 8 元/人份，午餐基准价 18 元/人份，晚餐基准价 16 元/人份；具体以甲方确认的刷卡或订餐系统数据为准。</w:t>
      </w:r>
    </w:p>
    <w:p>
      <w:pPr>
        <w:spacing w:after="100" w:before="0" w:line="312" w:lineRule="auto"/>
      </w:pPr>
      <w:r>
        <w:rPr>
          <w:rFonts w:ascii="宋体" w:eastAsia="宋体" w:hAnsi="宋体"/>
          <w:b w:val="0"/>
          <w:sz w:val="21"/>
        </w:rPr>
        <w:t>6.2 乙方应于每月 5 日前提交上月结算清单、刷卡明细、加班餐确认单及合法有效的增值税专用发票。甲方审核无误后于7个工作日内付款；乙方提交的发票不合规的，有权在3个工作日内补正。</w:t>
      </w:r>
    </w:p>
    <w:p>
      <w:pPr>
        <w:spacing w:after="100" w:before="0" w:line="312" w:lineRule="auto"/>
      </w:pPr>
      <w:r>
        <w:rPr>
          <w:rFonts w:ascii="宋体" w:eastAsia="宋体" w:hAnsi="宋体"/>
          <w:b w:val="0"/>
          <w:sz w:val="21"/>
        </w:rPr>
        <w:t>6.3 因乙方数据错误、发票不合规、服务争议未结清等原因导致付款延迟的，甲方不承担逾期付款责任。</w:t>
      </w:r>
    </w:p>
    <w:p>
      <w:pPr>
        <w:spacing w:after="100" w:before="0" w:line="312" w:lineRule="auto"/>
      </w:pPr>
      <w:r>
        <w:rPr>
          <w:rFonts w:ascii="宋体" w:eastAsia="宋体" w:hAnsi="宋体"/>
          <w:b w:val="0"/>
          <w:sz w:val="21"/>
        </w:rPr>
        <w:t>6.4 乙方不得擅自提高菜品价格或另行向员工收取服务费、餐具费、管理费等费用。</w:t>
      </w:r>
    </w:p>
    <w:p>
      <w:pPr>
        <w:spacing w:after="120" w:before="240"/>
      </w:pPr>
      <w:r>
        <w:rPr>
          <w:rFonts w:ascii="宋体" w:eastAsia="宋体" w:hAnsi="宋体"/>
          <w:b/>
          <w:sz w:val="28"/>
        </w:rPr>
        <w:t>第七条 设备、场地与物资管理</w:t>
      </w:r>
    </w:p>
    <w:p>
      <w:pPr>
        <w:spacing w:after="100" w:before="0" w:line="312" w:lineRule="auto"/>
      </w:pPr>
      <w:r>
        <w:rPr>
          <w:rFonts w:ascii="宋体" w:eastAsia="宋体" w:hAnsi="宋体"/>
          <w:b w:val="0"/>
          <w:sz w:val="21"/>
        </w:rPr>
        <w:t>7.1 甲方提供现有厨房设备、餐厅桌椅、基础水电燃气接口及后厨固定设施。乙方应在进场时与甲方共同清点并签署设备交接清单。</w:t>
      </w:r>
    </w:p>
    <w:p>
      <w:pPr>
        <w:spacing w:after="100" w:before="0" w:line="312" w:lineRule="auto"/>
      </w:pPr>
      <w:r>
        <w:rPr>
          <w:rFonts w:ascii="宋体" w:eastAsia="宋体" w:hAnsi="宋体"/>
          <w:b w:val="0"/>
          <w:sz w:val="21"/>
        </w:rPr>
        <w:t>7.2 乙方应合理使用甲方设备设施，因操作不当、维护不善或人员过失造成损坏的，由乙方负责维修或赔偿。设备日常维护由乙方负责，自然损耗（如正常老化）导致的维修费用由甲方承担，重大故障由双方协商确定维修责任</w:t>
      </w:r>
    </w:p>
    <w:p>
      <w:pPr>
        <w:spacing w:after="100" w:before="0" w:line="312" w:lineRule="auto"/>
      </w:pPr>
      <w:r>
        <w:rPr>
          <w:rFonts w:ascii="宋体" w:eastAsia="宋体" w:hAnsi="宋体"/>
          <w:b w:val="0"/>
          <w:sz w:val="21"/>
        </w:rPr>
        <w:t>7.3 易耗品、调味品、低值餐厨用品及员工餐制作所需原材料由乙方自行采购并承担费用，除双方另有书面约定外，甲方不另行补贴。</w:t>
      </w:r>
    </w:p>
    <w:p>
      <w:pPr>
        <w:spacing w:after="120" w:before="240"/>
      </w:pPr>
      <w:r>
        <w:rPr>
          <w:rFonts w:ascii="宋体" w:eastAsia="宋体" w:hAnsi="宋体"/>
          <w:b/>
          <w:sz w:val="28"/>
        </w:rPr>
        <w:t>第八条 考核与整改</w:t>
      </w:r>
    </w:p>
    <w:p>
      <w:pPr>
        <w:spacing w:after="100" w:before="0" w:line="312" w:lineRule="auto"/>
      </w:pPr>
      <w:r>
        <w:rPr>
          <w:rFonts w:ascii="宋体" w:eastAsia="宋体" w:hAnsi="宋体"/>
          <w:b w:val="0"/>
          <w:sz w:val="21"/>
        </w:rPr>
        <w:t>8.1 甲方每月从食品安全、菜品质量、服务态度、现场卫生、响应速度、员工满意度等维度进行考核。月度评分低于 80 分的，乙方应在 3 个工作日内提交整改计划。</w:t>
      </w:r>
    </w:p>
    <w:p>
      <w:pPr>
        <w:spacing w:after="100" w:before="0" w:line="312" w:lineRule="auto"/>
      </w:pPr>
      <w:r>
        <w:rPr>
          <w:rFonts w:ascii="宋体" w:eastAsia="宋体" w:hAnsi="宋体"/>
          <w:b w:val="0"/>
          <w:sz w:val="21"/>
        </w:rPr>
        <w:t>8.2 同一问题连续两个月出现，或员工有效投诉单月超过 10 起的，甲方有权约谈乙方负责人，并按当月服务费的 2% 至 5% 扣减违约金。</w:t>
      </w:r>
    </w:p>
    <w:p>
      <w:pPr>
        <w:spacing w:after="100" w:before="0" w:line="312" w:lineRule="auto"/>
      </w:pPr>
      <w:r>
        <w:rPr>
          <w:rFonts w:ascii="宋体" w:eastAsia="宋体" w:hAnsi="宋体"/>
          <w:b w:val="0"/>
          <w:sz w:val="21"/>
        </w:rPr>
        <w:t>8.3 如乙方整改不到位且影响甲方正常生产经营，甲方有权要求乙方暂停相关窗口运营、限期更换人员或提前解除合同。</w:t>
      </w:r>
    </w:p>
    <w:p>
      <w:pPr>
        <w:spacing w:after="120" w:before="240"/>
      </w:pPr>
      <w:r>
        <w:rPr>
          <w:rFonts w:ascii="宋体" w:eastAsia="宋体" w:hAnsi="宋体"/>
          <w:b/>
          <w:sz w:val="28"/>
        </w:rPr>
        <w:t>第九条 保密与合规</w:t>
      </w:r>
    </w:p>
    <w:p>
      <w:pPr>
        <w:spacing w:after="100" w:before="0" w:line="312" w:lineRule="auto"/>
      </w:pPr>
      <w:r>
        <w:rPr>
          <w:rFonts w:ascii="宋体" w:eastAsia="宋体" w:hAnsi="宋体"/>
          <w:b w:val="0"/>
          <w:sz w:val="21"/>
        </w:rPr>
        <w:t>9.1 乙方及其人员在履约过程中知悉的甲方商业秘密（包括未公开的生产经营数据、技术信息、客户信息等）均属保密信息；未经甲方书面同意，乙方不得向第三方披露，合同终止后，乙方的保密义务延续至合同终止后3年。</w:t>
      </w:r>
    </w:p>
    <w:p>
      <w:pPr>
        <w:spacing w:after="100" w:before="0" w:line="312" w:lineRule="auto"/>
      </w:pPr>
      <w:r>
        <w:rPr>
          <w:rFonts w:ascii="宋体" w:eastAsia="宋体" w:hAnsi="宋体"/>
          <w:b w:val="0"/>
          <w:sz w:val="21"/>
        </w:rPr>
        <w:t>9.2 乙方不得以甲方名义对外采购、借款、招聘、发布宣传内容或开展与本合同无关的经营活动。</w:t>
      </w:r>
    </w:p>
    <w:p>
      <w:pPr>
        <w:spacing w:after="100" w:before="0" w:line="312" w:lineRule="auto"/>
      </w:pPr>
      <w:r>
        <w:rPr>
          <w:rFonts w:ascii="宋体" w:eastAsia="宋体" w:hAnsi="宋体"/>
          <w:b w:val="0"/>
          <w:sz w:val="21"/>
        </w:rPr>
        <w:t>9.3 乙方应自行承担其雇员工资、社保、工伤、劳动争议及第三方劳务管理责任，与甲方不存在劳动关系或劳务派遣关系。</w:t>
      </w:r>
    </w:p>
    <w:p>
      <w:pPr>
        <w:spacing w:after="120" w:before="240"/>
      </w:pPr>
      <w:r>
        <w:rPr>
          <w:rFonts w:ascii="宋体" w:eastAsia="宋体" w:hAnsi="宋体"/>
          <w:b/>
          <w:sz w:val="28"/>
        </w:rPr>
        <w:t>第十条 违约责任</w:t>
      </w:r>
    </w:p>
    <w:p>
      <w:pPr>
        <w:spacing w:after="100" w:before="0" w:line="312" w:lineRule="auto"/>
      </w:pPr>
      <w:r>
        <w:rPr>
          <w:rFonts w:ascii="宋体" w:eastAsia="宋体" w:hAnsi="宋体"/>
          <w:b w:val="0"/>
          <w:sz w:val="21"/>
        </w:rPr>
        <w:t>10.1 乙方未按约定时间供餐，且影响甲方员工正常就餐的，单次供餐延误（不超过2小时）支付2000元，连续2小时以上停餐支付5000元，单日停餐支付10000元；造成停工、投诉升级或其他损失的，乙方还应赔偿实际损失；因甲方停电、停水、政府管制等非乙方原因导致供餐延误/停餐的，乙方不承担违约责任。</w:t>
      </w:r>
    </w:p>
    <w:p>
      <w:pPr>
        <w:spacing w:after="100" w:before="0" w:line="312" w:lineRule="auto"/>
      </w:pPr>
      <w:r>
        <w:rPr>
          <w:rFonts w:ascii="宋体" w:eastAsia="宋体" w:hAnsi="宋体"/>
          <w:b w:val="0"/>
          <w:sz w:val="21"/>
        </w:rPr>
        <w:t>10.2 乙方违反食品安全义务造成行政处罚、媒体曝光、员工身体损害或群体性事件的，甲方有权立即解除合同，乙方应承担全部赔偿责任。</w:t>
      </w:r>
    </w:p>
    <w:p>
      <w:pPr>
        <w:spacing w:after="100" w:before="0" w:line="312" w:lineRule="auto"/>
      </w:pPr>
      <w:r>
        <w:rPr>
          <w:rFonts w:ascii="宋体" w:eastAsia="宋体" w:hAnsi="宋体"/>
          <w:b w:val="0"/>
          <w:sz w:val="21"/>
        </w:rPr>
        <w:t>10.3 甲方无正当理由逾期付款超过 30 日的，应按逾期未付款项每日万分之三向乙方支付违约金，但累计不超过逾期款项的 5%。</w:t>
      </w:r>
    </w:p>
    <w:p>
      <w:pPr>
        <w:spacing w:after="100" w:before="0" w:line="312" w:lineRule="auto"/>
      </w:pPr>
      <w:r>
        <w:rPr>
          <w:rFonts w:ascii="宋体" w:eastAsia="宋体" w:hAnsi="宋体"/>
          <w:b w:val="0"/>
          <w:sz w:val="21"/>
        </w:rPr>
        <w:t>10.4 任一方违反保密义务的，应赔偿守约方因此遭受的全部损失；损失难以计算的，违约方应支付不少于 50,000 元的违约金。</w:t>
      </w:r>
    </w:p>
    <w:p>
      <w:pPr>
        <w:spacing w:after="120" w:before="240"/>
      </w:pPr>
      <w:r>
        <w:rPr>
          <w:rFonts w:ascii="宋体" w:eastAsia="宋体" w:hAnsi="宋体"/>
          <w:b/>
          <w:sz w:val="28"/>
        </w:rPr>
        <w:t>第十一条 合同解除与交接</w:t>
      </w:r>
    </w:p>
    <w:p>
      <w:pPr>
        <w:spacing w:after="100" w:before="0" w:line="312" w:lineRule="auto"/>
      </w:pPr>
      <w:r>
        <w:rPr>
          <w:rFonts w:ascii="宋体" w:eastAsia="宋体" w:hAnsi="宋体"/>
          <w:b w:val="0"/>
          <w:sz w:val="21"/>
        </w:rPr>
        <w:t>11.1 任一方拟提前解除合同的，应提前 30 日书面通知对方；但发生重大食品安全事故、严重违法违规、擅自停餐、转包分包等情形的，守约方可立即解除合同。</w:t>
      </w:r>
    </w:p>
    <w:p>
      <w:pPr>
        <w:spacing w:after="100" w:before="0" w:line="312" w:lineRule="auto"/>
      </w:pPr>
      <w:r>
        <w:rPr>
          <w:rFonts w:ascii="宋体" w:eastAsia="宋体" w:hAnsi="宋体"/>
          <w:b w:val="0"/>
          <w:sz w:val="21"/>
        </w:rPr>
        <w:t>11.2 合同终止或解除后，乙方应在 7 个工作日内完成场地清理、设备归还、库存盘点、员工撤场、费用结算和资料移交；因不可抗力或甲方临时需求导致交接延迟的，双方可协商延长交接期限。</w:t>
      </w:r>
    </w:p>
    <w:p>
      <w:pPr>
        <w:spacing w:after="100" w:before="0" w:line="312" w:lineRule="auto"/>
      </w:pPr>
      <w:r>
        <w:rPr>
          <w:rFonts w:ascii="宋体" w:eastAsia="宋体" w:hAnsi="宋体"/>
          <w:b w:val="0"/>
          <w:sz w:val="21"/>
        </w:rPr>
        <w:t>11.3 乙方撤场不得影响甲方食堂连续运营。因乙方拖延交接造成甲方另行采购临时供餐服务的，增加费用由乙方承担。</w:t>
      </w:r>
    </w:p>
    <w:p>
      <w:pPr>
        <w:spacing w:after="120" w:before="240"/>
      </w:pPr>
      <w:r>
        <w:rPr>
          <w:rFonts w:ascii="宋体" w:eastAsia="宋体" w:hAnsi="宋体"/>
          <w:b/>
          <w:sz w:val="28"/>
        </w:rPr>
        <w:t>第十二条 不可抗力</w:t>
      </w:r>
    </w:p>
    <w:p>
      <w:pPr>
        <w:spacing w:after="100" w:before="0" w:line="312" w:lineRule="auto"/>
      </w:pPr>
      <w:r>
        <w:rPr>
          <w:rFonts w:ascii="宋体" w:eastAsia="宋体" w:hAnsi="宋体"/>
          <w:b w:val="0"/>
          <w:sz w:val="21"/>
        </w:rPr>
        <w:t>12.1 因自然灾害、政府管制、重大公共卫生事件、供水供电燃气中断等不可抗力导致无法履约的，受影响方应及时通知对方，并在合理期限内提供证明。</w:t>
      </w:r>
    </w:p>
    <w:p>
      <w:pPr>
        <w:spacing w:after="100" w:before="0" w:line="312" w:lineRule="auto"/>
      </w:pPr>
      <w:r>
        <w:rPr>
          <w:rFonts w:ascii="宋体" w:eastAsia="宋体" w:hAnsi="宋体"/>
          <w:b w:val="0"/>
          <w:sz w:val="21"/>
        </w:rPr>
        <w:t>12.2 双方应根据不可抗力影响程度协商变更供餐方式、暂停部分服务或顺延履约期限。不可抗力影响超过 30 日的，任何一方均可协商解除合同。</w:t>
      </w:r>
    </w:p>
    <w:p>
      <w:pPr>
        <w:spacing w:after="120" w:before="240"/>
      </w:pPr>
      <w:r>
        <w:rPr>
          <w:rFonts w:ascii="宋体" w:eastAsia="宋体" w:hAnsi="宋体"/>
          <w:b/>
          <w:sz w:val="28"/>
        </w:rPr>
        <w:t>第十三条 争议解决</w:t>
      </w:r>
    </w:p>
    <w:p>
      <w:pPr>
        <w:spacing w:after="100" w:before="0" w:line="312" w:lineRule="auto"/>
      </w:pPr>
      <w:r>
        <w:rPr>
          <w:rFonts w:ascii="宋体" w:eastAsia="宋体" w:hAnsi="宋体"/>
          <w:b w:val="0"/>
          <w:sz w:val="21"/>
        </w:rPr>
        <w:t>13.1 本合同适用中华人民共和国法律。</w:t>
      </w:r>
    </w:p>
    <w:p>
      <w:pPr>
        <w:spacing w:after="100" w:before="0" w:line="312" w:lineRule="auto"/>
      </w:pPr>
      <w:r>
        <w:rPr>
          <w:rFonts w:ascii="宋体" w:eastAsia="宋体" w:hAnsi="宋体"/>
          <w:b w:val="0"/>
          <w:sz w:val="21"/>
        </w:rPr>
        <w:t>13.2 因本合同产生的争议，双方应先友好协商；协商不成的，任一方可向甲方所在地有管辖权的人民法院提起诉讼。</w:t>
      </w:r>
    </w:p>
    <w:p>
      <w:pPr>
        <w:spacing w:after="100" w:before="0" w:line="312" w:lineRule="auto"/>
      </w:pPr>
      <w:r>
        <w:rPr>
          <w:rFonts w:ascii="宋体" w:eastAsia="宋体" w:hAnsi="宋体"/>
          <w:b w:val="0"/>
          <w:sz w:val="21"/>
        </w:rPr>
        <w:t>13.3 争议处理期间，除争议事项外，双方仍应继续履行不受影响的合同义务。</w:t>
      </w:r>
    </w:p>
    <w:p>
      <w:pPr>
        <w:spacing w:after="120" w:before="240"/>
      </w:pPr>
      <w:r>
        <w:rPr>
          <w:rFonts w:ascii="宋体" w:eastAsia="宋体" w:hAnsi="宋体"/>
          <w:b/>
          <w:sz w:val="28"/>
        </w:rPr>
        <w:t>第十四条 其他约定</w:t>
      </w:r>
    </w:p>
    <w:p>
      <w:pPr>
        <w:spacing w:after="100" w:before="0" w:line="312" w:lineRule="auto"/>
      </w:pPr>
      <w:r>
        <w:rPr>
          <w:rFonts w:ascii="宋体" w:eastAsia="宋体" w:hAnsi="宋体"/>
          <w:b w:val="0"/>
          <w:sz w:val="21"/>
        </w:rPr>
        <w:t>14.1 本合同附件包括《设备交接清单》《月度服务考核表》《食品安全管理要求》《价格及补贴确认表》，附件与本合同具有同等法律效力。</w:t>
      </w:r>
    </w:p>
    <w:p>
      <w:pPr>
        <w:spacing w:after="100" w:before="0" w:line="312" w:lineRule="auto"/>
      </w:pPr>
      <w:r>
        <w:rPr>
          <w:rFonts w:ascii="宋体" w:eastAsia="宋体" w:hAnsi="宋体"/>
          <w:b w:val="0"/>
          <w:sz w:val="21"/>
        </w:rPr>
        <w:t>14.2 本合同未尽事宜，双方可签署补充协议。补充协议与本合同不一致的，以补充协议为准。</w:t>
      </w:r>
    </w:p>
    <w:p>
      <w:pPr>
        <w:spacing w:after="100" w:before="0" w:line="312" w:lineRule="auto"/>
      </w:pPr>
      <w:r>
        <w:rPr>
          <w:rFonts w:ascii="宋体" w:eastAsia="宋体" w:hAnsi="宋体"/>
          <w:b w:val="0"/>
          <w:sz w:val="21"/>
        </w:rPr>
        <w:t>14.3 本合同一式肆份，甲乙双方各执贰份，自双方盖章之日起生效。</w:t>
      </w:r>
    </w:p>
    <w:p>
      <w:pPr>
        <w:spacing w:after="120" w:before="240"/>
      </w:pPr>
      <w:r>
        <w:rPr>
          <w:rFonts w:ascii="宋体" w:eastAsia="宋体" w:hAnsi="宋体"/>
          <w:b/>
          <w:sz w:val="28"/>
        </w:rPr>
        <w:t>附件一 月度服务考核表（示例）</w:t>
      </w:r>
    </w:p>
    <w:tbl>
      <w:tblPr>
        <w:tblW w:type="auto" w:w="0"/>
        <w:jc w:val="center"/>
        <w:tblLook w:firstColumn="1" w:firstRow="1" w:lastColumn="0" w:lastRow="0" w:noHBand="0" w:noVBand="1" w:val="04A0"/>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Pr>
      <w:tblGrid>
        <w:gridCol w:w="2239"/>
        <w:gridCol w:w="2239"/>
        <w:gridCol w:w="2239"/>
        <w:gridCol w:w="2239"/>
      </w:tblGrid>
      <w:tr>
        <w:tc>
          <w:tcPr>
            <w:tcW w:type="dxa" w:w="1814"/>
            <w:vAlign w:val="center"/>
            <w:shd w:fill="D9EAF7"/>
          </w:tcPr>
          <w:p>
            <w:pPr>
              <w:spacing w:after="0"/>
            </w:pPr>
            <w:r/>
            <w:r>
              <w:rPr>
                <w:rFonts w:ascii="宋体" w:eastAsia="宋体" w:hAnsi="宋体"/>
                <w:b/>
                <w:sz w:val="21"/>
              </w:rPr>
              <w:t>考核项目</w:t>
            </w:r>
          </w:p>
        </w:tc>
        <w:tc>
          <w:tcPr>
            <w:tcW w:type="dxa" w:w="1134"/>
            <w:vAlign w:val="center"/>
            <w:shd w:fill="D9EAF7"/>
          </w:tcPr>
          <w:p>
            <w:pPr>
              <w:spacing w:after="0"/>
            </w:pPr>
            <w:r/>
            <w:r>
              <w:rPr>
                <w:rFonts w:ascii="宋体" w:eastAsia="宋体" w:hAnsi="宋体"/>
                <w:b/>
                <w:sz w:val="21"/>
              </w:rPr>
              <w:t>权重</w:t>
            </w:r>
          </w:p>
        </w:tc>
        <w:tc>
          <w:tcPr>
            <w:tcW w:type="dxa" w:w="3402"/>
            <w:vAlign w:val="center"/>
            <w:shd w:fill="D9EAF7"/>
          </w:tcPr>
          <w:p>
            <w:pPr>
              <w:spacing w:after="0"/>
            </w:pPr>
            <w:r/>
            <w:r>
              <w:rPr>
                <w:rFonts w:ascii="宋体" w:eastAsia="宋体" w:hAnsi="宋体"/>
                <w:b/>
                <w:sz w:val="21"/>
              </w:rPr>
              <w:t>主要指标</w:t>
            </w:r>
          </w:p>
        </w:tc>
        <w:tc>
          <w:tcPr>
            <w:tcW w:type="dxa" w:w="3402"/>
            <w:vAlign w:val="center"/>
            <w:shd w:fill="D9EAF7"/>
          </w:tcPr>
          <w:p>
            <w:pPr>
              <w:spacing w:after="0"/>
            </w:pPr>
            <w:r/>
            <w:r>
              <w:rPr>
                <w:rFonts w:ascii="宋体" w:eastAsia="宋体" w:hAnsi="宋体"/>
                <w:b/>
                <w:sz w:val="21"/>
              </w:rPr>
              <w:t>扣分示例</w:t>
            </w:r>
          </w:p>
        </w:tc>
      </w:tr>
      <w:tr>
        <w:tc>
          <w:tcPr>
            <w:tcW w:type="dxa" w:w="1814"/>
            <w:vAlign w:val="center"/>
          </w:tcPr>
          <w:p>
            <w:pPr>
              <w:spacing w:after="0"/>
            </w:pPr>
            <w:r/>
            <w:r>
              <w:rPr>
                <w:rFonts w:ascii="宋体" w:eastAsia="宋体" w:hAnsi="宋体"/>
                <w:b w:val="0"/>
                <w:sz w:val="21"/>
              </w:rPr>
              <w:t>食品安全</w:t>
            </w:r>
          </w:p>
        </w:tc>
        <w:tc>
          <w:tcPr>
            <w:tcW w:type="dxa" w:w="1134"/>
            <w:vAlign w:val="center"/>
          </w:tcPr>
          <w:p>
            <w:pPr>
              <w:spacing w:after="0"/>
            </w:pPr>
            <w:r/>
            <w:r>
              <w:rPr>
                <w:rFonts w:ascii="宋体" w:eastAsia="宋体" w:hAnsi="宋体"/>
                <w:b w:val="0"/>
                <w:sz w:val="21"/>
              </w:rPr>
              <w:t>30%</w:t>
            </w:r>
          </w:p>
        </w:tc>
        <w:tc>
          <w:tcPr>
            <w:tcW w:type="dxa" w:w="3402"/>
            <w:vAlign w:val="center"/>
          </w:tcPr>
          <w:p>
            <w:pPr>
              <w:spacing w:after="0"/>
            </w:pPr>
            <w:r/>
            <w:r>
              <w:rPr>
                <w:rFonts w:ascii="宋体" w:eastAsia="宋体" w:hAnsi="宋体"/>
                <w:b w:val="0"/>
                <w:sz w:val="21"/>
              </w:rPr>
              <w:t>留样、索证索票、温控、消毒、人员健康证</w:t>
            </w:r>
          </w:p>
        </w:tc>
        <w:tc>
          <w:tcPr>
            <w:tcW w:type="dxa" w:w="3402"/>
            <w:vAlign w:val="center"/>
          </w:tcPr>
          <w:p>
            <w:pPr>
              <w:spacing w:after="0"/>
            </w:pPr>
            <w:r/>
            <w:r>
              <w:rPr>
                <w:rFonts w:ascii="宋体" w:eastAsia="宋体" w:hAnsi="宋体"/>
                <w:b w:val="0"/>
                <w:sz w:val="21"/>
              </w:rPr>
              <w:t>留样缺失、原料票据不全、冷藏记录异常</w:t>
            </w:r>
          </w:p>
        </w:tc>
      </w:tr>
      <w:tr>
        <w:tc>
          <w:tcPr>
            <w:tcW w:type="dxa" w:w="1814"/>
            <w:vAlign w:val="center"/>
          </w:tcPr>
          <w:p>
            <w:pPr>
              <w:spacing w:after="0"/>
            </w:pPr>
            <w:r/>
            <w:r>
              <w:rPr>
                <w:rFonts w:ascii="宋体" w:eastAsia="宋体" w:hAnsi="宋体"/>
                <w:b w:val="0"/>
                <w:sz w:val="21"/>
              </w:rPr>
              <w:t>菜品质量</w:t>
            </w:r>
          </w:p>
        </w:tc>
        <w:tc>
          <w:tcPr>
            <w:tcW w:type="dxa" w:w="1134"/>
            <w:vAlign w:val="center"/>
          </w:tcPr>
          <w:p>
            <w:pPr>
              <w:spacing w:after="0"/>
            </w:pPr>
            <w:r/>
            <w:r>
              <w:rPr>
                <w:rFonts w:ascii="宋体" w:eastAsia="宋体" w:hAnsi="宋体"/>
                <w:b w:val="0"/>
                <w:sz w:val="21"/>
              </w:rPr>
              <w:t>25%</w:t>
            </w:r>
          </w:p>
        </w:tc>
        <w:tc>
          <w:tcPr>
            <w:tcW w:type="dxa" w:w="3402"/>
            <w:vAlign w:val="center"/>
          </w:tcPr>
          <w:p>
            <w:pPr>
              <w:spacing w:after="0"/>
            </w:pPr>
            <w:r/>
            <w:r>
              <w:rPr>
                <w:rFonts w:ascii="宋体" w:eastAsia="宋体" w:hAnsi="宋体"/>
                <w:b w:val="0"/>
                <w:sz w:val="21"/>
              </w:rPr>
              <w:t>口味、温度、份量、菜单丰富度</w:t>
            </w:r>
          </w:p>
        </w:tc>
        <w:tc>
          <w:tcPr>
            <w:tcW w:type="dxa" w:w="3402"/>
            <w:vAlign w:val="center"/>
          </w:tcPr>
          <w:p>
            <w:pPr>
              <w:spacing w:after="0"/>
            </w:pPr>
            <w:r/>
            <w:r>
              <w:rPr>
                <w:rFonts w:ascii="宋体" w:eastAsia="宋体" w:hAnsi="宋体"/>
                <w:b w:val="0"/>
                <w:sz w:val="21"/>
              </w:rPr>
              <w:t>菜品供应不足、主荤偏差、员工集中投诉</w:t>
            </w:r>
          </w:p>
        </w:tc>
      </w:tr>
      <w:tr>
        <w:tc>
          <w:tcPr>
            <w:tcW w:type="dxa" w:w="1814"/>
            <w:vAlign w:val="center"/>
          </w:tcPr>
          <w:p>
            <w:pPr>
              <w:spacing w:after="0"/>
            </w:pPr>
            <w:r/>
            <w:r>
              <w:rPr>
                <w:rFonts w:ascii="宋体" w:eastAsia="宋体" w:hAnsi="宋体"/>
                <w:b w:val="0"/>
                <w:sz w:val="21"/>
              </w:rPr>
              <w:t>现场卫生</w:t>
            </w:r>
          </w:p>
        </w:tc>
        <w:tc>
          <w:tcPr>
            <w:tcW w:type="dxa" w:w="1134"/>
            <w:vAlign w:val="center"/>
          </w:tcPr>
          <w:p>
            <w:pPr>
              <w:spacing w:after="0"/>
            </w:pPr>
            <w:r/>
            <w:r>
              <w:rPr>
                <w:rFonts w:ascii="宋体" w:eastAsia="宋体" w:hAnsi="宋体"/>
                <w:b w:val="0"/>
                <w:sz w:val="21"/>
              </w:rPr>
              <w:t>20%</w:t>
            </w:r>
          </w:p>
        </w:tc>
        <w:tc>
          <w:tcPr>
            <w:tcW w:type="dxa" w:w="3402"/>
            <w:vAlign w:val="center"/>
          </w:tcPr>
          <w:p>
            <w:pPr>
              <w:spacing w:after="0"/>
            </w:pPr>
            <w:r/>
            <w:r>
              <w:rPr>
                <w:rFonts w:ascii="宋体" w:eastAsia="宋体" w:hAnsi="宋体"/>
                <w:b w:val="0"/>
                <w:sz w:val="21"/>
              </w:rPr>
              <w:t>餐厅、后厨、餐具、垃圾分类、虫害控制</w:t>
            </w:r>
          </w:p>
        </w:tc>
        <w:tc>
          <w:tcPr>
            <w:tcW w:type="dxa" w:w="3402"/>
            <w:vAlign w:val="center"/>
          </w:tcPr>
          <w:p>
            <w:pPr>
              <w:spacing w:after="0"/>
            </w:pPr>
            <w:r/>
            <w:r>
              <w:rPr>
                <w:rFonts w:ascii="宋体" w:eastAsia="宋体" w:hAnsi="宋体"/>
                <w:b w:val="0"/>
                <w:sz w:val="21"/>
              </w:rPr>
              <w:t>地面积水、餐具污渍、垃圾未及时清运</w:t>
            </w:r>
          </w:p>
        </w:tc>
      </w:tr>
      <w:tr>
        <w:tc>
          <w:tcPr>
            <w:tcW w:type="dxa" w:w="1814"/>
            <w:vAlign w:val="center"/>
          </w:tcPr>
          <w:p>
            <w:pPr>
              <w:spacing w:after="0"/>
            </w:pPr>
            <w:r/>
            <w:r>
              <w:rPr>
                <w:rFonts w:ascii="宋体" w:eastAsia="宋体" w:hAnsi="宋体"/>
                <w:b w:val="0"/>
                <w:sz w:val="21"/>
              </w:rPr>
              <w:t>服务响应</w:t>
            </w:r>
          </w:p>
        </w:tc>
        <w:tc>
          <w:tcPr>
            <w:tcW w:type="dxa" w:w="1134"/>
            <w:vAlign w:val="center"/>
          </w:tcPr>
          <w:p>
            <w:pPr>
              <w:spacing w:after="0"/>
            </w:pPr>
            <w:r/>
            <w:r>
              <w:rPr>
                <w:rFonts w:ascii="宋体" w:eastAsia="宋体" w:hAnsi="宋体"/>
                <w:b w:val="0"/>
                <w:sz w:val="21"/>
              </w:rPr>
              <w:t>15%</w:t>
            </w:r>
          </w:p>
        </w:tc>
        <w:tc>
          <w:tcPr>
            <w:tcW w:type="dxa" w:w="3402"/>
            <w:vAlign w:val="center"/>
          </w:tcPr>
          <w:p>
            <w:pPr>
              <w:spacing w:after="0"/>
            </w:pPr>
            <w:r/>
            <w:r>
              <w:rPr>
                <w:rFonts w:ascii="宋体" w:eastAsia="宋体" w:hAnsi="宋体"/>
                <w:b w:val="0"/>
                <w:sz w:val="21"/>
              </w:rPr>
              <w:t>排队时间、问题处理、临时餐响应</w:t>
            </w:r>
          </w:p>
        </w:tc>
        <w:tc>
          <w:tcPr>
            <w:tcW w:type="dxa" w:w="3402"/>
            <w:vAlign w:val="center"/>
          </w:tcPr>
          <w:p>
            <w:pPr>
              <w:spacing w:after="0"/>
            </w:pPr>
            <w:r/>
            <w:r>
              <w:rPr>
                <w:rFonts w:ascii="宋体" w:eastAsia="宋体" w:hAnsi="宋体"/>
                <w:b w:val="0"/>
                <w:sz w:val="21"/>
              </w:rPr>
              <w:t>高峰排队过长、加班餐延迟</w:t>
            </w:r>
          </w:p>
        </w:tc>
      </w:tr>
      <w:tr>
        <w:tc>
          <w:tcPr>
            <w:tcW w:type="dxa" w:w="1814"/>
            <w:vAlign w:val="center"/>
          </w:tcPr>
          <w:p>
            <w:pPr>
              <w:spacing w:after="0"/>
            </w:pPr>
            <w:r/>
            <w:r>
              <w:rPr>
                <w:rFonts w:ascii="宋体" w:eastAsia="宋体" w:hAnsi="宋体"/>
                <w:b w:val="0"/>
                <w:sz w:val="21"/>
              </w:rPr>
              <w:t>资料台账</w:t>
            </w:r>
          </w:p>
        </w:tc>
        <w:tc>
          <w:tcPr>
            <w:tcW w:type="dxa" w:w="1134"/>
            <w:vAlign w:val="center"/>
          </w:tcPr>
          <w:p>
            <w:pPr>
              <w:spacing w:after="0"/>
            </w:pPr>
            <w:r/>
            <w:r>
              <w:rPr>
                <w:rFonts w:ascii="宋体" w:eastAsia="宋体" w:hAnsi="宋体"/>
                <w:b w:val="0"/>
                <w:sz w:val="21"/>
              </w:rPr>
              <w:t>10%</w:t>
            </w:r>
          </w:p>
        </w:tc>
        <w:tc>
          <w:tcPr>
            <w:tcW w:type="dxa" w:w="3402"/>
            <w:vAlign w:val="center"/>
          </w:tcPr>
          <w:p>
            <w:pPr>
              <w:spacing w:after="0"/>
            </w:pPr>
            <w:r/>
            <w:r>
              <w:rPr>
                <w:rFonts w:ascii="宋体" w:eastAsia="宋体" w:hAnsi="宋体"/>
                <w:b w:val="0"/>
                <w:sz w:val="21"/>
              </w:rPr>
              <w:t>采购、留样、培训、巡检、整改记录</w:t>
            </w:r>
          </w:p>
        </w:tc>
        <w:tc>
          <w:tcPr>
            <w:tcW w:type="dxa" w:w="3402"/>
            <w:vAlign w:val="center"/>
          </w:tcPr>
          <w:p>
            <w:pPr>
              <w:spacing w:after="0"/>
            </w:pPr>
            <w:r/>
            <w:r>
              <w:rPr>
                <w:rFonts w:ascii="宋体" w:eastAsia="宋体" w:hAnsi="宋体"/>
                <w:b w:val="0"/>
                <w:sz w:val="21"/>
              </w:rPr>
              <w:t>台账缺页、记录补填、整改逾期</w:t>
            </w:r>
          </w:p>
        </w:tc>
      </w:tr>
    </w:tbl>
    <w:p>
      <w:pPr>
        <w:spacing w:after="160" w:before="0" w:line="312" w:lineRule="auto"/>
      </w:pPr>
      <w:r>
        <w:rPr>
          <w:rFonts w:ascii="宋体" w:eastAsia="宋体" w:hAnsi="宋体"/>
          <w:b w:val="0"/>
          <w:sz w:val="21"/>
        </w:rPr>
      </w:r>
    </w:p>
    <w:p>
      <w:pPr>
        <w:spacing w:after="120" w:before="240"/>
      </w:pPr>
      <w:r>
        <w:rPr>
          <w:rFonts w:ascii="宋体" w:eastAsia="宋体" w:hAnsi="宋体"/>
          <w:b/>
          <w:sz w:val="28"/>
        </w:rPr>
        <w:t>签署页</w:t>
      </w:r>
    </w:p>
    <w:p>
      <w:pPr>
        <w:spacing w:after="240" w:before="0" w:line="312" w:lineRule="auto"/>
      </w:pPr>
      <w:r>
        <w:rPr>
          <w:rFonts w:ascii="宋体" w:eastAsia="宋体" w:hAnsi="宋体"/>
          <w:b w:val="0"/>
          <w:sz w:val="21"/>
        </w:rPr>
        <w:t>以下无正文，为《食堂承包运营服务合同》签署页。</w:t>
      </w:r>
    </w:p>
    <w:tbl>
      <w:tblPr>
        <w:tblW w:type="auto" w:w="0"/>
        <w:jc w:val="center"/>
        <w:tblLook w:firstColumn="1" w:firstRow="1" w:lastColumn="0" w:lastRow="0" w:noHBand="0" w:noVBand="1" w:val="04A0"/>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Pr>
      <w:tblGrid>
        <w:gridCol w:w="4479"/>
        <w:gridCol w:w="4479"/>
      </w:tblGrid>
      <w:tr>
        <w:tc>
          <w:tcPr>
            <w:tcW w:type="dxa" w:w="4649"/>
            <w:vAlign w:val="center"/>
            <w:shd w:fill="F2F2F2"/>
          </w:tcPr>
          <w:p>
            <w:pPr>
              <w:spacing w:after="0"/>
            </w:pPr>
            <w:r/>
            <w:r>
              <w:rPr>
                <w:rFonts w:ascii="宋体" w:eastAsia="宋体" w:hAnsi="宋体"/>
                <w:b/>
                <w:sz w:val="21"/>
              </w:rPr>
              <w:t>甲方：上海明德智能装备有限公司（盖章）</w:t>
            </w:r>
          </w:p>
        </w:tc>
        <w:tc>
          <w:tcPr>
            <w:tcW w:type="dxa" w:w="4649"/>
            <w:vAlign w:val="center"/>
            <w:shd w:fill="F2F2F2"/>
          </w:tcPr>
          <w:p>
            <w:pPr>
              <w:spacing w:after="0"/>
            </w:pPr>
            <w:r/>
            <w:r>
              <w:rPr>
                <w:rFonts w:ascii="宋体" w:eastAsia="宋体" w:hAnsi="宋体"/>
                <w:b/>
                <w:sz w:val="21"/>
              </w:rPr>
              <w:t>乙方：上海禾悦餐饮管理有限公司（盖章）</w:t>
            </w:r>
          </w:p>
        </w:tc>
      </w:tr>
      <w:tr>
        <w:tc>
          <w:tcPr>
            <w:tcW w:type="dxa" w:w="4649"/>
            <w:vAlign w:val="center"/>
          </w:tcPr>
          <w:p>
            <w:pPr>
              <w:spacing w:after="0"/>
            </w:pPr>
            <w:r/>
            <w:r>
              <w:rPr>
                <w:rFonts w:ascii="宋体" w:eastAsia="宋体" w:hAnsi="宋体"/>
                <w:b w:val="0"/>
                <w:sz w:val="21"/>
              </w:rPr>
              <w:t>法定代表人或授权代表：</w:t>
            </w:r>
          </w:p>
        </w:tc>
        <w:tc>
          <w:tcPr>
            <w:tcW w:type="dxa" w:w="4649"/>
            <w:vAlign w:val="center"/>
          </w:tcPr>
          <w:p>
            <w:pPr>
              <w:spacing w:after="0"/>
            </w:pPr>
            <w:r/>
            <w:r>
              <w:rPr>
                <w:rFonts w:ascii="宋体" w:eastAsia="宋体" w:hAnsi="宋体"/>
                <w:b w:val="0"/>
                <w:sz w:val="21"/>
              </w:rPr>
              <w:t>法定代表人或授权代表：</w:t>
            </w:r>
          </w:p>
        </w:tc>
      </w:tr>
      <w:tr>
        <w:tc>
          <w:tcPr>
            <w:tcW w:type="dxa" w:w="4649"/>
            <w:vAlign w:val="center"/>
          </w:tcPr>
          <w:p>
            <w:pPr>
              <w:spacing w:after="0"/>
            </w:pPr>
            <w:r/>
            <w:r>
              <w:rPr>
                <w:rFonts w:ascii="宋体" w:eastAsia="宋体" w:hAnsi="宋体"/>
                <w:b w:val="0"/>
                <w:sz w:val="21"/>
              </w:rPr>
              <w:t>日期：2026 年    月    日</w:t>
            </w:r>
          </w:p>
        </w:tc>
        <w:tc>
          <w:tcPr>
            <w:tcW w:type="dxa" w:w="4649"/>
            <w:vAlign w:val="center"/>
          </w:tcPr>
          <w:p>
            <w:pPr>
              <w:spacing w:after="0"/>
            </w:pPr>
            <w:r/>
            <w:r>
              <w:rPr>
                <w:rFonts w:ascii="宋体" w:eastAsia="宋体" w:hAnsi="宋体"/>
                <w:b w:val="0"/>
                <w:sz w:val="21"/>
              </w:rPr>
              <w:t>日期：2026 年    月    日</w:t>
            </w:r>
          </w:p>
        </w:tc>
      </w:tr>
      <w:tr>
        <w:tc>
          <w:tcPr>
            <w:tcW w:type="dxa" w:w="4649"/>
            <w:vAlign w:val="center"/>
          </w:tcPr>
          <w:p>
            <w:pPr>
              <w:spacing w:after="0"/>
            </w:pPr>
            <w:r/>
            <w:r>
              <w:rPr>
                <w:rFonts w:ascii="宋体" w:eastAsia="宋体" w:hAnsi="宋体"/>
                <w:b w:val="0"/>
                <w:sz w:val="21"/>
              </w:rPr>
              <w:t>联系人：周诚</w:t>
            </w:r>
          </w:p>
        </w:tc>
        <w:tc>
          <w:tcPr>
            <w:tcW w:type="dxa" w:w="4649"/>
            <w:vAlign w:val="center"/>
          </w:tcPr>
          <w:p>
            <w:pPr>
              <w:spacing w:after="0"/>
            </w:pPr>
            <w:r/>
            <w:r>
              <w:rPr>
                <w:rFonts w:ascii="宋体" w:eastAsia="宋体" w:hAnsi="宋体"/>
                <w:b w:val="0"/>
                <w:sz w:val="21"/>
              </w:rPr>
              <w:t>联系人：林佳</w:t>
            </w:r>
          </w:p>
        </w:tc>
      </w:tr>
      <w:tr>
        <w:tc>
          <w:tcPr>
            <w:tcW w:type="dxa" w:w="4649"/>
            <w:vAlign w:val="center"/>
          </w:tcPr>
          <w:p>
            <w:pPr>
              <w:spacing w:after="0"/>
            </w:pPr>
            <w:r/>
            <w:r>
              <w:rPr>
                <w:rFonts w:ascii="宋体" w:eastAsia="宋体" w:hAnsi="宋体"/>
                <w:b w:val="0"/>
                <w:sz w:val="21"/>
              </w:rPr>
              <w:t>联系电话：021-6888 6200</w:t>
            </w:r>
          </w:p>
        </w:tc>
        <w:tc>
          <w:tcPr>
            <w:tcW w:type="dxa" w:w="4649"/>
            <w:vAlign w:val="center"/>
          </w:tcPr>
          <w:p>
            <w:pPr>
              <w:spacing w:after="0"/>
            </w:pPr>
            <w:r/>
            <w:r>
              <w:rPr>
                <w:rFonts w:ascii="宋体" w:eastAsia="宋体" w:hAnsi="宋体"/>
                <w:b w:val="0"/>
                <w:sz w:val="21"/>
              </w:rPr>
              <w:t>联系电话：021-6077 3166</w:t>
            </w:r>
          </w:p>
        </w:tc>
      </w:tr>
    </w:tbl>
    <w:p>
      <w:pPr>
        <w:ind w:firstLine="0" w:hanging="0" w:left="0" w:right="0"/>
      </w:pPr>
      <w:r>
        <w:br w:type="page"/>
        <w:t>本次修改说明</w:t>
      </w:r>
    </w:p>
    <w:p>
      <w:pPr>
        <w:ind w:firstLine="0" w:hanging="0" w:left="0" w:right="0"/>
      </w:pPr>
      <w:r>
        <w:t>1. 在“因乙方原因发生食品安全事故、群体性投诉或行政处罚...”所在段落调整了原有表述。</w:t>
      </w:r>
    </w:p>
    <w:p>
      <w:pPr>
        <w:ind w:firstLine="0" w:hanging="0" w:left="0" w:right="0"/>
      </w:pPr>
      <w:r>
        <w:t>2. 在“合同终止或解除后，乙方应在 5 个工作日内完成场...”所在段落调整了原有表述。</w:t>
      </w:r>
    </w:p>
    <w:p>
      <w:pPr>
        <w:ind w:firstLine="0" w:hanging="0" w:left="0" w:right="0"/>
      </w:pPr>
      <w:r>
        <w:t>3. 在“合同期满前 60 日，双方可根据履约评价、员工满...”所在段落补充了说明内容。</w:t>
      </w:r>
    </w:p>
    <w:p>
      <w:pPr>
        <w:ind w:firstLine="0" w:hanging="0" w:left="0" w:right="0"/>
      </w:pPr>
      <w:r>
        <w:t>4. 在“乙方未按约定时间供餐，且影响甲方员工正常就餐的，...”所在段落调整了原有表述。</w:t>
      </w:r>
    </w:p>
    <w:p>
      <w:pPr>
        <w:ind w:firstLine="0" w:hanging="0" w:left="0" w:right="0"/>
      </w:pPr>
      <w:r>
        <w:t>5. 在“乙方应于每月 5 日前提交上月结算清单、刷卡明细...”所在段落调整了原有表述。</w:t>
      </w:r>
    </w:p>
    <w:p>
      <w:pPr>
        <w:ind w:firstLine="0" w:hanging="0" w:left="0" w:right="0"/>
      </w:pPr>
      <w:r>
        <w:t>6. 在“乙方应合理使用甲方设备设施，因操作不当、维护不善...”所在段落补充了说明内容。</w:t>
      </w:r>
    </w:p>
    <w:p>
      <w:pPr>
        <w:ind w:firstLine="0" w:hanging="0" w:left="0" w:right="0"/>
      </w:pPr>
      <w:r>
        <w:t>7. 在“乙方及其人员在履约过程中知悉的甲方员工信息、刷卡...”所在段落调整了原有表述。</w:t>
      </w:r>
    </w:p>
    <w:sectPr w:rsidR="00FC693F" w:rsidRPr="0006063C" w:rsidSect="00034616">
      <w:headerReference r:id="rId9" w:type="default"/>
      <w:footerReference r:id="rId10" w:type="default"/>
      <w:pgSz w:h="16838" w:w="11906"/>
      <w:pgMar w:bottom="1247" w:footer="720" w:gutter="0" w:header="720" w:left="1474" w:right="1474" w:top="136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本文件为合同审查系统练习用模拟文本，不构成法律意见。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sz w:val="18"/>
      </w:rPr>
      <w:t>模拟案例 | 食堂承包运营服务合同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