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68F0A" w14:textId="77777777" w:rsidR="00A7522E" w:rsidRDefault="00000000">
      <w:pPr>
        <w:spacing w:after="160" w:line="288" w:lineRule="auto"/>
        <w:jc w:val="center"/>
        <w:rPr>
          <w:lang w:eastAsia="zh-CN"/>
        </w:rPr>
      </w:pPr>
      <w:r>
        <w:rPr>
          <w:rFonts w:eastAsia="Noto Sans CJK SC"/>
          <w:b/>
          <w:sz w:val="36"/>
          <w:lang w:eastAsia="zh-CN"/>
        </w:rPr>
        <w:t>从</w:t>
      </w:r>
      <w:r>
        <w:rPr>
          <w:rFonts w:eastAsia="Noto Sans CJK SC"/>
          <w:b/>
          <w:sz w:val="36"/>
          <w:lang w:eastAsia="zh-CN"/>
        </w:rPr>
        <w:t>“</w:t>
      </w:r>
      <w:r>
        <w:rPr>
          <w:rFonts w:eastAsia="Noto Sans CJK SC"/>
          <w:b/>
          <w:sz w:val="36"/>
          <w:lang w:eastAsia="zh-CN"/>
        </w:rPr>
        <w:t>能做</w:t>
      </w:r>
      <w:r>
        <w:rPr>
          <w:rFonts w:eastAsia="Noto Sans CJK SC"/>
          <w:b/>
          <w:sz w:val="36"/>
          <w:lang w:eastAsia="zh-CN"/>
        </w:rPr>
        <w:t>”</w:t>
      </w:r>
      <w:r>
        <w:rPr>
          <w:rFonts w:eastAsia="Noto Sans CJK SC"/>
          <w:b/>
          <w:sz w:val="36"/>
          <w:lang w:eastAsia="zh-CN"/>
        </w:rPr>
        <w:t>到</w:t>
      </w:r>
      <w:r>
        <w:rPr>
          <w:rFonts w:eastAsia="Noto Sans CJK SC"/>
          <w:b/>
          <w:sz w:val="36"/>
          <w:lang w:eastAsia="zh-CN"/>
        </w:rPr>
        <w:t>“</w:t>
      </w:r>
      <w:r>
        <w:rPr>
          <w:rFonts w:eastAsia="Noto Sans CJK SC"/>
          <w:b/>
          <w:sz w:val="36"/>
          <w:lang w:eastAsia="zh-CN"/>
        </w:rPr>
        <w:t>应当怎样做</w:t>
      </w:r>
      <w:r>
        <w:rPr>
          <w:rFonts w:eastAsia="Noto Sans CJK SC"/>
          <w:b/>
          <w:sz w:val="36"/>
          <w:lang w:eastAsia="zh-CN"/>
        </w:rPr>
        <w:t>”</w:t>
      </w:r>
      <w:r>
        <w:rPr>
          <w:rFonts w:eastAsia="Noto Sans CJK SC"/>
          <w:b/>
          <w:sz w:val="36"/>
          <w:lang w:eastAsia="zh-CN"/>
        </w:rPr>
        <w:t>：智能系统工程的风险前置治理与责任边界</w:t>
      </w:r>
    </w:p>
    <w:p w14:paraId="06EA45F5" w14:textId="77777777" w:rsidR="00A7522E" w:rsidRDefault="00000000">
      <w:pPr>
        <w:spacing w:after="240" w:line="288" w:lineRule="auto"/>
        <w:jc w:val="center"/>
        <w:rPr>
          <w:lang w:eastAsia="zh-CN"/>
        </w:rPr>
      </w:pPr>
      <w:r>
        <w:rPr>
          <w:rFonts w:eastAsia="Noto Sans CJK SC"/>
          <w:b/>
          <w:sz w:val="28"/>
          <w:lang w:eastAsia="zh-CN"/>
        </w:rPr>
        <w:t>——</w:t>
      </w:r>
      <w:r>
        <w:rPr>
          <w:rFonts w:eastAsia="Noto Sans CJK SC"/>
          <w:b/>
          <w:sz w:val="28"/>
          <w:lang w:eastAsia="zh-CN"/>
        </w:rPr>
        <w:t>以自动驾驶和生成式人工智能为例</w:t>
      </w:r>
    </w:p>
    <w:p w14:paraId="648A7AE1" w14:textId="0B534174" w:rsidR="00A7522E" w:rsidRPr="008D24D5" w:rsidRDefault="00000000">
      <w:pPr>
        <w:spacing w:after="60" w:line="288" w:lineRule="auto"/>
        <w:jc w:val="center"/>
        <w:rPr>
          <w:rFonts w:eastAsia="宋体" w:hint="eastAsia"/>
          <w:lang w:eastAsia="zh-CN"/>
        </w:rPr>
      </w:pPr>
      <w:r>
        <w:rPr>
          <w:lang w:eastAsia="zh-CN"/>
        </w:rPr>
        <w:t>姓名：</w:t>
      </w:r>
      <w:r w:rsidR="008D24D5">
        <w:rPr>
          <w:rFonts w:ascii="宋体" w:eastAsia="宋体" w:hAnsi="宋体" w:cs="宋体" w:hint="eastAsia"/>
          <w:lang w:eastAsia="zh-CN"/>
        </w:rPr>
        <w:t>陈晨阳</w:t>
      </w:r>
      <w:r>
        <w:rPr>
          <w:lang w:eastAsia="zh-CN"/>
        </w:rPr>
        <w:t xml:space="preserve">    </w:t>
      </w:r>
      <w:r>
        <w:rPr>
          <w:lang w:eastAsia="zh-CN"/>
        </w:rPr>
        <w:t>学号：</w:t>
      </w:r>
      <w:r w:rsidR="008D24D5">
        <w:rPr>
          <w:rFonts w:eastAsia="宋体" w:hint="eastAsia"/>
          <w:lang w:eastAsia="zh-CN"/>
        </w:rPr>
        <w:t>S202588319</w:t>
      </w:r>
    </w:p>
    <w:p w14:paraId="2F98F064" w14:textId="773D986E" w:rsidR="00A7522E" w:rsidRDefault="00000000">
      <w:pPr>
        <w:spacing w:after="60" w:line="288" w:lineRule="auto"/>
        <w:jc w:val="center"/>
        <w:rPr>
          <w:lang w:eastAsia="zh-CN"/>
        </w:rPr>
      </w:pPr>
      <w:r>
        <w:rPr>
          <w:lang w:eastAsia="zh-CN"/>
        </w:rPr>
        <w:t>学院</w:t>
      </w:r>
      <w:r>
        <w:rPr>
          <w:lang w:eastAsia="zh-CN"/>
        </w:rPr>
        <w:t>/</w:t>
      </w:r>
      <w:r>
        <w:rPr>
          <w:lang w:eastAsia="zh-CN"/>
        </w:rPr>
        <w:t>专业：</w:t>
      </w:r>
      <w:r w:rsidR="008D24D5">
        <w:rPr>
          <w:rFonts w:ascii="宋体" w:eastAsia="宋体" w:hAnsi="宋体" w:cs="宋体" w:hint="eastAsia"/>
          <w:lang w:eastAsia="zh-CN"/>
        </w:rPr>
        <w:t>软件工程专业</w:t>
      </w:r>
      <w:r>
        <w:rPr>
          <w:lang w:eastAsia="zh-CN"/>
        </w:rPr>
        <w:t xml:space="preserve">   </w:t>
      </w:r>
      <w:r>
        <w:rPr>
          <w:lang w:eastAsia="zh-CN"/>
        </w:rPr>
        <w:t>课程：工程伦理案例分析</w:t>
      </w:r>
    </w:p>
    <w:p w14:paraId="194B0053" w14:textId="77777777" w:rsidR="00A7522E" w:rsidRDefault="00000000">
      <w:pPr>
        <w:spacing w:before="200" w:after="80" w:line="324" w:lineRule="auto"/>
        <w:rPr>
          <w:lang w:eastAsia="zh-CN"/>
        </w:rPr>
      </w:pPr>
      <w:r>
        <w:rPr>
          <w:rFonts w:eastAsia="Noto Sans CJK SC"/>
          <w:b/>
          <w:sz w:val="21"/>
          <w:lang w:eastAsia="zh-CN"/>
        </w:rPr>
        <w:t>摘</w:t>
      </w:r>
      <w:r>
        <w:rPr>
          <w:rFonts w:eastAsia="Noto Sans CJK SC"/>
          <w:b/>
          <w:sz w:val="21"/>
          <w:lang w:eastAsia="zh-CN"/>
        </w:rPr>
        <w:t xml:space="preserve">  </w:t>
      </w:r>
      <w:r>
        <w:rPr>
          <w:rFonts w:eastAsia="Noto Sans CJK SC"/>
          <w:b/>
          <w:sz w:val="21"/>
          <w:lang w:eastAsia="zh-CN"/>
        </w:rPr>
        <w:t>要：</w:t>
      </w:r>
      <w:r>
        <w:rPr>
          <w:sz w:val="21"/>
          <w:lang w:eastAsia="zh-CN"/>
        </w:rPr>
        <w:t>智能系统正在从实验室技术转化为真实社会中的工程基础设施。自动驾驶、算法推荐、智能诊断和生成式人工智能能够提高效率，但也可能带来安全事故、隐私泄露、算法偏见和能源消耗等问题。本文以自动驾驶和生成式人工智能为例，结合公开资料调研，分析智能系统风险如何在需求定义、数据选择、模型训练、测试验证、部署运营和事故反馈中被制造、放大或被控制。调研显示，</w:t>
      </w:r>
      <w:r>
        <w:rPr>
          <w:sz w:val="21"/>
          <w:lang w:eastAsia="zh-CN"/>
        </w:rPr>
        <w:t>AI</w:t>
      </w:r>
      <w:r>
        <w:rPr>
          <w:sz w:val="21"/>
          <w:lang w:eastAsia="zh-CN"/>
        </w:rPr>
        <w:t>相关事件报告数量近年明显增加，国际风险治理框架正在从事后追责转向全生命周期管理，数据中心用电增长也使数字技术的环境成本更加突出。本文认为，工程伦理不是阻碍技术创新的外部约束，而是保证工程长期可信、可用和</w:t>
      </w:r>
      <w:proofErr w:type="gramStart"/>
      <w:r>
        <w:rPr>
          <w:sz w:val="21"/>
          <w:lang w:eastAsia="zh-CN"/>
        </w:rPr>
        <w:t>可</w:t>
      </w:r>
      <w:proofErr w:type="gramEnd"/>
      <w:r>
        <w:rPr>
          <w:sz w:val="21"/>
          <w:lang w:eastAsia="zh-CN"/>
        </w:rPr>
        <w:t>持续的内部条件。工程师的责任不应止于完成某个模块，更应主动识别攸关方、说明系统边界、保留风险记录，并在安全、效率、公平和</w:t>
      </w:r>
      <w:proofErr w:type="gramStart"/>
      <w:r>
        <w:rPr>
          <w:sz w:val="21"/>
          <w:lang w:eastAsia="zh-CN"/>
        </w:rPr>
        <w:t>可</w:t>
      </w:r>
      <w:proofErr w:type="gramEnd"/>
      <w:r>
        <w:rPr>
          <w:sz w:val="21"/>
          <w:lang w:eastAsia="zh-CN"/>
        </w:rPr>
        <w:t>持续之间</w:t>
      </w:r>
      <w:proofErr w:type="gramStart"/>
      <w:r>
        <w:rPr>
          <w:sz w:val="21"/>
          <w:lang w:eastAsia="zh-CN"/>
        </w:rPr>
        <w:t>作出</w:t>
      </w:r>
      <w:proofErr w:type="gramEnd"/>
      <w:r>
        <w:rPr>
          <w:sz w:val="21"/>
          <w:lang w:eastAsia="zh-CN"/>
        </w:rPr>
        <w:t>负责任的专业判断。</w:t>
      </w:r>
    </w:p>
    <w:p w14:paraId="6D583B61" w14:textId="77777777" w:rsidR="00A7522E" w:rsidRDefault="00000000">
      <w:pPr>
        <w:spacing w:after="160" w:line="324" w:lineRule="auto"/>
        <w:rPr>
          <w:lang w:eastAsia="zh-CN"/>
        </w:rPr>
      </w:pPr>
      <w:r>
        <w:rPr>
          <w:rFonts w:eastAsia="Noto Sans CJK SC"/>
          <w:b/>
          <w:sz w:val="21"/>
          <w:lang w:eastAsia="zh-CN"/>
        </w:rPr>
        <w:t>关键词：</w:t>
      </w:r>
      <w:r>
        <w:rPr>
          <w:sz w:val="21"/>
          <w:lang w:eastAsia="zh-CN"/>
        </w:rPr>
        <w:t>工程伦理；智能系统；风险治理；职业责任；公共福祉</w:t>
      </w:r>
    </w:p>
    <w:p w14:paraId="6CEAE029" w14:textId="77777777" w:rsidR="00A7522E" w:rsidRDefault="00000000">
      <w:pPr>
        <w:spacing w:before="200" w:after="120" w:line="288" w:lineRule="auto"/>
        <w:rPr>
          <w:lang w:eastAsia="zh-CN"/>
        </w:rPr>
      </w:pPr>
      <w:r>
        <w:rPr>
          <w:rFonts w:eastAsia="Noto Sans CJK SC"/>
          <w:b/>
          <w:sz w:val="28"/>
          <w:lang w:eastAsia="zh-CN"/>
        </w:rPr>
        <w:t>一、问题提出：技术成功并不等于工程成功</w:t>
      </w:r>
    </w:p>
    <w:p w14:paraId="09A682B4" w14:textId="77777777" w:rsidR="00A7522E" w:rsidRDefault="00000000">
      <w:pPr>
        <w:spacing w:after="80" w:line="360" w:lineRule="auto"/>
        <w:ind w:firstLine="420"/>
        <w:rPr>
          <w:lang w:eastAsia="zh-CN"/>
        </w:rPr>
      </w:pPr>
      <w:r>
        <w:rPr>
          <w:lang w:eastAsia="zh-CN"/>
        </w:rPr>
        <w:t>在没有系统学习工程伦理之前，我容易把工程理解为一种</w:t>
      </w:r>
      <w:r>
        <w:rPr>
          <w:lang w:eastAsia="zh-CN"/>
        </w:rPr>
        <w:t>“</w:t>
      </w:r>
      <w:r>
        <w:rPr>
          <w:lang w:eastAsia="zh-CN"/>
        </w:rPr>
        <w:t>把方案做出来</w:t>
      </w:r>
      <w:r>
        <w:rPr>
          <w:lang w:eastAsia="zh-CN"/>
        </w:rPr>
        <w:t>”</w:t>
      </w:r>
      <w:r>
        <w:rPr>
          <w:lang w:eastAsia="zh-CN"/>
        </w:rPr>
        <w:t>的技术活动：指标达到要求、功能能够运行、成本可以接受，项目似乎就已经完成。但在自动驾驶和生成式人工智能快速进入生活之后，我逐渐意识到，技术成功并不必然等于工程成功。工程一旦被部署到社会之中，就会牵动用户、企业、监管部门、周边公众以及自然环境等多方利益。一个看似局部的技术缺陷，可能通过复杂系统迅速转化为公共安全、权利保障和社会信任问题。</w:t>
      </w:r>
    </w:p>
    <w:p w14:paraId="53F0E5F7" w14:textId="77777777" w:rsidR="00A7522E" w:rsidRDefault="00000000">
      <w:pPr>
        <w:spacing w:after="80" w:line="360" w:lineRule="auto"/>
        <w:ind w:firstLine="420"/>
        <w:rPr>
          <w:lang w:eastAsia="zh-CN"/>
        </w:rPr>
      </w:pPr>
      <w:r>
        <w:rPr>
          <w:lang w:eastAsia="zh-CN"/>
        </w:rPr>
        <w:t>本文选择</w:t>
      </w:r>
      <w:r>
        <w:rPr>
          <w:lang w:eastAsia="zh-CN"/>
        </w:rPr>
        <w:t>“</w:t>
      </w:r>
      <w:r>
        <w:rPr>
          <w:lang w:eastAsia="zh-CN"/>
        </w:rPr>
        <w:t>智能系统工程中的风险前置治理与责任边界</w:t>
      </w:r>
      <w:r>
        <w:rPr>
          <w:lang w:eastAsia="zh-CN"/>
        </w:rPr>
        <w:t>”</w:t>
      </w:r>
      <w:r>
        <w:rPr>
          <w:lang w:eastAsia="zh-CN"/>
        </w:rPr>
        <w:t>作为主题，是因为人工智能与未来专业学习和工程实践联系紧密。智能系统表面上是软件或算法，实际却具有典型工程系统的特征：需求来自社会场景，运行依赖数据、硬件、网络和人的配合，后果又往往由很多不直接参与设计的人共同承担。例如，自动驾驶车辆的识别错误可能影响道路行人，招聘算法的排序偏差可能影响求职者机会，大模型生成的不准确信息也可能影响医疗、教育和公共决策。</w:t>
      </w:r>
    </w:p>
    <w:p w14:paraId="5BB325DF" w14:textId="77777777" w:rsidR="00A7522E" w:rsidRDefault="00000000">
      <w:pPr>
        <w:spacing w:after="80" w:line="360" w:lineRule="auto"/>
        <w:ind w:firstLine="420"/>
        <w:rPr>
          <w:lang w:eastAsia="zh-CN"/>
        </w:rPr>
      </w:pPr>
      <w:r>
        <w:rPr>
          <w:lang w:eastAsia="zh-CN"/>
        </w:rPr>
        <w:t>因此，本文的核心观点是：智能系统的伦理风险不是算法输出之后才出现的附属问题，而是在工程全过程中逐步形成的结果。真正负责任的工程不应只在事故发生后寻找责任人，而应在立项、设计、测试、部署和运营阶段就把安全底线、利益分配、环境成本和职业责任纳入流程。工程师也不能只把自己看作</w:t>
      </w:r>
      <w:r>
        <w:rPr>
          <w:lang w:eastAsia="zh-CN"/>
        </w:rPr>
        <w:t>“</w:t>
      </w:r>
      <w:r>
        <w:rPr>
          <w:lang w:eastAsia="zh-CN"/>
        </w:rPr>
        <w:t>完成任务的人</w:t>
      </w:r>
      <w:r>
        <w:rPr>
          <w:lang w:eastAsia="zh-CN"/>
        </w:rPr>
        <w:t>”</w:t>
      </w:r>
      <w:r>
        <w:rPr>
          <w:lang w:eastAsia="zh-CN"/>
        </w:rPr>
        <w:t>，而应成为技术能力与公共福祉之间的连接者。</w:t>
      </w:r>
    </w:p>
    <w:p w14:paraId="02C0C07F" w14:textId="77777777" w:rsidR="00A7522E" w:rsidRDefault="00000000">
      <w:pPr>
        <w:spacing w:before="200" w:after="120" w:line="288" w:lineRule="auto"/>
        <w:rPr>
          <w:lang w:eastAsia="zh-CN"/>
        </w:rPr>
      </w:pPr>
      <w:r>
        <w:rPr>
          <w:rFonts w:eastAsia="Noto Sans CJK SC"/>
          <w:b/>
          <w:sz w:val="28"/>
          <w:lang w:eastAsia="zh-CN"/>
        </w:rPr>
        <w:lastRenderedPageBreak/>
        <w:t>二、智能系统风险的生成机制：不确定性、组织压力与责任稀释</w:t>
      </w:r>
    </w:p>
    <w:p w14:paraId="37A56B81" w14:textId="77777777" w:rsidR="00A7522E" w:rsidRDefault="00000000">
      <w:pPr>
        <w:spacing w:after="80" w:line="360" w:lineRule="auto"/>
        <w:ind w:firstLine="420"/>
        <w:rPr>
          <w:lang w:eastAsia="zh-CN"/>
        </w:rPr>
      </w:pPr>
      <w:r>
        <w:rPr>
          <w:lang w:eastAsia="zh-CN"/>
        </w:rPr>
        <w:t>任何工程都不可能完全消除风险，关键在于能否把风险控制在可接受范围内，并使剩余风险被充分识别、说明和承担。智能系统的特殊性在于，它的风险既来自技术本身，也来自运行环境和人的决策。技术层面包括训练数据偏差、模型误判、传感器失效、鲁棒性不足和系统集成错误；外部环境层面包括天气、道路状况、用户行为、恶意攻击以及政策变化；人为和组织层面则包括压缩测试周期、过度宣传系统能力、忽视异常日志、把安全审查形式化等。许多事故并不是单一原因造成的，而是这些因素在复杂系统中叠加后的结果。</w:t>
      </w:r>
    </w:p>
    <w:p w14:paraId="601A0383" w14:textId="77777777" w:rsidR="00A7522E" w:rsidRDefault="00000000">
      <w:pPr>
        <w:spacing w:after="80" w:line="360" w:lineRule="auto"/>
        <w:ind w:firstLine="420"/>
        <w:rPr>
          <w:lang w:eastAsia="zh-CN"/>
        </w:rPr>
      </w:pPr>
      <w:r>
        <w:rPr>
          <w:lang w:eastAsia="zh-CN"/>
        </w:rPr>
        <w:t>智能系统还容易出现责任稀释。算法由多人开发，数据由外部平台提供，模型部署由企业运营部门推进，最终使用者又可能在不了解技术边界的情况下承担后果。当问题发生时，各方都可能说</w:t>
      </w:r>
      <w:r>
        <w:rPr>
          <w:lang w:eastAsia="zh-CN"/>
        </w:rPr>
        <w:t>“</w:t>
      </w:r>
      <w:r>
        <w:rPr>
          <w:lang w:eastAsia="zh-CN"/>
        </w:rPr>
        <w:t>这不是我的部分</w:t>
      </w:r>
      <w:r>
        <w:rPr>
          <w:lang w:eastAsia="zh-CN"/>
        </w:rPr>
        <w:t>”</w:t>
      </w:r>
      <w:r>
        <w:rPr>
          <w:lang w:eastAsia="zh-CN"/>
        </w:rPr>
        <w:t>。这种责任分散在传统工程中也存在，但在智能工程中更隐蔽，因为模型决策过程不容易被普通用户看见，系统错误也常被包装成</w:t>
      </w:r>
      <w:r>
        <w:rPr>
          <w:lang w:eastAsia="zh-CN"/>
        </w:rPr>
        <w:t>“</w:t>
      </w:r>
      <w:r>
        <w:rPr>
          <w:lang w:eastAsia="zh-CN"/>
        </w:rPr>
        <w:t>概率问题</w:t>
      </w:r>
      <w:r>
        <w:rPr>
          <w:lang w:eastAsia="zh-CN"/>
        </w:rPr>
        <w:t>”</w:t>
      </w:r>
      <w:r>
        <w:rPr>
          <w:lang w:eastAsia="zh-CN"/>
        </w:rPr>
        <w:t>。如果工程师只关心局部指标，而没有记录系统边界、失效条件和可能受影响者，责任链就会在技术黑箱中断裂。</w:t>
      </w:r>
    </w:p>
    <w:p w14:paraId="6105ACA7" w14:textId="77777777" w:rsidR="00A7522E" w:rsidRDefault="00000000">
      <w:pPr>
        <w:spacing w:after="80" w:line="360" w:lineRule="auto"/>
        <w:ind w:firstLine="420"/>
        <w:rPr>
          <w:lang w:eastAsia="zh-CN"/>
        </w:rPr>
      </w:pPr>
      <w:r>
        <w:rPr>
          <w:lang w:eastAsia="zh-CN"/>
        </w:rPr>
        <w:t>我认为，智能系统风险治理最重要的不是追求</w:t>
      </w:r>
      <w:r>
        <w:rPr>
          <w:lang w:eastAsia="zh-CN"/>
        </w:rPr>
        <w:t>“</w:t>
      </w:r>
      <w:r>
        <w:rPr>
          <w:lang w:eastAsia="zh-CN"/>
        </w:rPr>
        <w:t>零风险</w:t>
      </w:r>
      <w:r>
        <w:rPr>
          <w:lang w:eastAsia="zh-CN"/>
        </w:rPr>
        <w:t>”</w:t>
      </w:r>
      <w:r>
        <w:rPr>
          <w:lang w:eastAsia="zh-CN"/>
        </w:rPr>
        <w:t>的口号，而是建立可追溯、可解释、可纠偏的工程流程。可接受风险并不意味着让公众被动接受风险，而应当意味着风险已经被充分评估，相关人群有知情和申诉渠道，工程组织也准备了预警、退出和补偿机制。换言之，风险能否被接受，本身就是一个技术判断与价值判断相结合的问题。</w:t>
      </w:r>
    </w:p>
    <w:p w14:paraId="31BD6A5F" w14:textId="77777777" w:rsidR="00A7522E" w:rsidRDefault="00000000">
      <w:pPr>
        <w:spacing w:before="200" w:after="120" w:line="288" w:lineRule="auto"/>
        <w:rPr>
          <w:lang w:eastAsia="zh-CN"/>
        </w:rPr>
      </w:pPr>
      <w:r>
        <w:rPr>
          <w:rFonts w:eastAsia="Noto Sans CJK SC"/>
          <w:b/>
          <w:sz w:val="28"/>
          <w:lang w:eastAsia="zh-CN"/>
        </w:rPr>
        <w:t>三、调研结果：</w:t>
      </w:r>
      <w:r>
        <w:rPr>
          <w:rFonts w:eastAsia="Noto Sans CJK SC"/>
          <w:b/>
          <w:sz w:val="28"/>
          <w:lang w:eastAsia="zh-CN"/>
        </w:rPr>
        <w:t>AI</w:t>
      </w:r>
      <w:r>
        <w:rPr>
          <w:rFonts w:eastAsia="Noto Sans CJK SC"/>
          <w:b/>
          <w:sz w:val="28"/>
          <w:lang w:eastAsia="zh-CN"/>
        </w:rPr>
        <w:t>风险治理正在走向全生命周期管理</w:t>
      </w:r>
    </w:p>
    <w:p w14:paraId="4AA680F9" w14:textId="77777777" w:rsidR="00A7522E" w:rsidRDefault="00000000">
      <w:pPr>
        <w:spacing w:after="80" w:line="360" w:lineRule="auto"/>
        <w:ind w:firstLine="420"/>
        <w:rPr>
          <w:lang w:eastAsia="zh-CN"/>
        </w:rPr>
      </w:pPr>
      <w:r>
        <w:rPr>
          <w:lang w:eastAsia="zh-CN"/>
        </w:rPr>
        <w:t>为了使分析不只停留在概念层面，我查阅了近年的公开资料。</w:t>
      </w:r>
      <w:r>
        <w:rPr>
          <w:lang w:eastAsia="zh-CN"/>
        </w:rPr>
        <w:t>Stanford HAI</w:t>
      </w:r>
      <w:r>
        <w:rPr>
          <w:lang w:eastAsia="zh-CN"/>
        </w:rPr>
        <w:t>发布的</w:t>
      </w:r>
      <w:r>
        <w:rPr>
          <w:lang w:eastAsia="zh-CN"/>
        </w:rPr>
        <w:t>2025</w:t>
      </w:r>
      <w:r>
        <w:rPr>
          <w:lang w:eastAsia="zh-CN"/>
        </w:rPr>
        <w:t>年</w:t>
      </w:r>
      <w:r>
        <w:rPr>
          <w:lang w:eastAsia="zh-CN"/>
        </w:rPr>
        <w:t>AI Index</w:t>
      </w:r>
      <w:r>
        <w:rPr>
          <w:lang w:eastAsia="zh-CN"/>
        </w:rPr>
        <w:t>报告显示，</w:t>
      </w:r>
      <w:r>
        <w:rPr>
          <w:lang w:eastAsia="zh-CN"/>
        </w:rPr>
        <w:t>AI Incident Database</w:t>
      </w:r>
      <w:r>
        <w:rPr>
          <w:lang w:eastAsia="zh-CN"/>
        </w:rPr>
        <w:t>记录的</w:t>
      </w:r>
      <w:r>
        <w:rPr>
          <w:lang w:eastAsia="zh-CN"/>
        </w:rPr>
        <w:t>AI</w:t>
      </w:r>
      <w:r>
        <w:rPr>
          <w:lang w:eastAsia="zh-CN"/>
        </w:rPr>
        <w:t>相关事件在</w:t>
      </w:r>
      <w:r>
        <w:rPr>
          <w:lang w:eastAsia="zh-CN"/>
        </w:rPr>
        <w:t>2024</w:t>
      </w:r>
      <w:r>
        <w:rPr>
          <w:lang w:eastAsia="zh-CN"/>
        </w:rPr>
        <w:t>年达到</w:t>
      </w:r>
      <w:r>
        <w:rPr>
          <w:lang w:eastAsia="zh-CN"/>
        </w:rPr>
        <w:t>233</w:t>
      </w:r>
      <w:r>
        <w:rPr>
          <w:lang w:eastAsia="zh-CN"/>
        </w:rPr>
        <w:t>起，比</w:t>
      </w:r>
      <w:r>
        <w:rPr>
          <w:lang w:eastAsia="zh-CN"/>
        </w:rPr>
        <w:t>2023</w:t>
      </w:r>
      <w:r>
        <w:rPr>
          <w:lang w:eastAsia="zh-CN"/>
        </w:rPr>
        <w:t>年增长</w:t>
      </w:r>
      <w:r>
        <w:rPr>
          <w:lang w:eastAsia="zh-CN"/>
        </w:rPr>
        <w:t>56.4%[6]</w:t>
      </w:r>
      <w:r>
        <w:rPr>
          <w:lang w:eastAsia="zh-CN"/>
        </w:rPr>
        <w:t>。这一数据并不说明</w:t>
      </w:r>
      <w:r>
        <w:rPr>
          <w:lang w:eastAsia="zh-CN"/>
        </w:rPr>
        <w:t>AI</w:t>
      </w:r>
      <w:r>
        <w:rPr>
          <w:lang w:eastAsia="zh-CN"/>
        </w:rPr>
        <w:t>一定比传统技术更危险，但说明随着</w:t>
      </w:r>
      <w:r>
        <w:rPr>
          <w:lang w:eastAsia="zh-CN"/>
        </w:rPr>
        <w:t>AI</w:t>
      </w:r>
      <w:r>
        <w:rPr>
          <w:lang w:eastAsia="zh-CN"/>
        </w:rPr>
        <w:t>系统进入交通、教育、金融、医疗和内容生产等场景，可见的伤害和</w:t>
      </w:r>
      <w:r>
        <w:rPr>
          <w:lang w:eastAsia="zh-CN"/>
        </w:rPr>
        <w:t>“</w:t>
      </w:r>
      <w:r>
        <w:rPr>
          <w:lang w:eastAsia="zh-CN"/>
        </w:rPr>
        <w:t>近失事件</w:t>
      </w:r>
      <w:r>
        <w:rPr>
          <w:lang w:eastAsia="zh-CN"/>
        </w:rPr>
        <w:t>”</w:t>
      </w:r>
      <w:r>
        <w:rPr>
          <w:lang w:eastAsia="zh-CN"/>
        </w:rPr>
        <w:t>正在增加。工程组织如果仍然只以模型准确率、上线速度或商业转化率评价项目，就很容易忽视那些尚未造成大规模事故但已经暴露出的早期风险信号。</w:t>
      </w:r>
    </w:p>
    <w:p w14:paraId="70AEAEB7" w14:textId="77777777" w:rsidR="00A7522E" w:rsidRDefault="00000000">
      <w:pPr>
        <w:spacing w:after="80" w:line="360" w:lineRule="auto"/>
        <w:ind w:firstLine="420"/>
        <w:rPr>
          <w:lang w:eastAsia="zh-CN"/>
        </w:rPr>
      </w:pPr>
      <w:r>
        <w:rPr>
          <w:lang w:eastAsia="zh-CN"/>
        </w:rPr>
        <w:t>国际治理框架也反映出类似趋势。</w:t>
      </w:r>
      <w:r>
        <w:rPr>
          <w:lang w:eastAsia="zh-CN"/>
        </w:rPr>
        <w:t>NIST</w:t>
      </w:r>
      <w:r>
        <w:rPr>
          <w:lang w:eastAsia="zh-CN"/>
        </w:rPr>
        <w:t>人工智能风险管理框架把可信</w:t>
      </w:r>
      <w:r>
        <w:rPr>
          <w:lang w:eastAsia="zh-CN"/>
        </w:rPr>
        <w:t>AI</w:t>
      </w:r>
      <w:r>
        <w:rPr>
          <w:lang w:eastAsia="zh-CN"/>
        </w:rPr>
        <w:t>概括为有效可靠、安全、稳健、透明、可解释、隐私增强、公平并</w:t>
      </w:r>
      <w:proofErr w:type="gramStart"/>
      <w:r>
        <w:rPr>
          <w:lang w:eastAsia="zh-CN"/>
        </w:rPr>
        <w:t>具有问</w:t>
      </w:r>
      <w:proofErr w:type="gramEnd"/>
      <w:r>
        <w:rPr>
          <w:lang w:eastAsia="zh-CN"/>
        </w:rPr>
        <w:t>责性等特征</w:t>
      </w:r>
      <w:r>
        <w:rPr>
          <w:lang w:eastAsia="zh-CN"/>
        </w:rPr>
        <w:t>[4]</w:t>
      </w:r>
      <w:r>
        <w:rPr>
          <w:lang w:eastAsia="zh-CN"/>
        </w:rPr>
        <w:t>；欧盟《人工智能法案》采用风险分级思路，对高风险</w:t>
      </w:r>
      <w:r>
        <w:rPr>
          <w:lang w:eastAsia="zh-CN"/>
        </w:rPr>
        <w:t>AI</w:t>
      </w:r>
      <w:r>
        <w:rPr>
          <w:lang w:eastAsia="zh-CN"/>
        </w:rPr>
        <w:t>提出风险管理、数据治理、技术文档、日志记录、透明度和人类监督等要求</w:t>
      </w:r>
      <w:r>
        <w:rPr>
          <w:lang w:eastAsia="zh-CN"/>
        </w:rPr>
        <w:t>[5]</w:t>
      </w:r>
      <w:r>
        <w:rPr>
          <w:lang w:eastAsia="zh-CN"/>
        </w:rPr>
        <w:t>。这些要求的共同点，是把责任从事故之后的补救前移到设计、开发和</w:t>
      </w:r>
      <w:proofErr w:type="gramStart"/>
      <w:r>
        <w:rPr>
          <w:lang w:eastAsia="zh-CN"/>
        </w:rPr>
        <w:t>部署全</w:t>
      </w:r>
      <w:proofErr w:type="gramEnd"/>
      <w:r>
        <w:rPr>
          <w:lang w:eastAsia="zh-CN"/>
        </w:rPr>
        <w:t>过程。</w:t>
      </w:r>
    </w:p>
    <w:p w14:paraId="78718FA6" w14:textId="77777777" w:rsidR="00A7522E" w:rsidRDefault="00000000">
      <w:pPr>
        <w:spacing w:after="80" w:line="360" w:lineRule="auto"/>
        <w:ind w:firstLine="420"/>
        <w:rPr>
          <w:lang w:eastAsia="zh-CN"/>
        </w:rPr>
      </w:pPr>
      <w:r>
        <w:rPr>
          <w:lang w:eastAsia="zh-CN"/>
        </w:rPr>
        <w:t>环境层面的调研同样值得关注。国际能源署在《</w:t>
      </w:r>
      <w:r>
        <w:rPr>
          <w:lang w:eastAsia="zh-CN"/>
        </w:rPr>
        <w:t>Energy and AI</w:t>
      </w:r>
      <w:r>
        <w:rPr>
          <w:lang w:eastAsia="zh-CN"/>
        </w:rPr>
        <w:t>》报告中估计，全球数据中心电力消费到</w:t>
      </w:r>
      <w:r>
        <w:rPr>
          <w:lang w:eastAsia="zh-CN"/>
        </w:rPr>
        <w:t>2030</w:t>
      </w:r>
      <w:r>
        <w:rPr>
          <w:lang w:eastAsia="zh-CN"/>
        </w:rPr>
        <w:t>年可能达到约</w:t>
      </w:r>
      <w:r>
        <w:rPr>
          <w:lang w:eastAsia="zh-CN"/>
        </w:rPr>
        <w:t>945TWh</w:t>
      </w:r>
      <w:r>
        <w:rPr>
          <w:lang w:eastAsia="zh-CN"/>
        </w:rPr>
        <w:t>，接近当前水平的两倍，并占</w:t>
      </w:r>
      <w:r>
        <w:rPr>
          <w:lang w:eastAsia="zh-CN"/>
        </w:rPr>
        <w:t>2030</w:t>
      </w:r>
      <w:r>
        <w:rPr>
          <w:lang w:eastAsia="zh-CN"/>
        </w:rPr>
        <w:t>年全球总电力消费的</w:t>
      </w:r>
      <w:r>
        <w:rPr>
          <w:lang w:eastAsia="zh-CN"/>
        </w:rPr>
        <w:lastRenderedPageBreak/>
        <w:t>接近</w:t>
      </w:r>
      <w:r>
        <w:rPr>
          <w:lang w:eastAsia="zh-CN"/>
        </w:rPr>
        <w:t>3%[7]</w:t>
      </w:r>
      <w:r>
        <w:rPr>
          <w:lang w:eastAsia="zh-CN"/>
        </w:rPr>
        <w:t>。这说明数字工程并非没有环境成本。对于大模型和</w:t>
      </w:r>
      <w:proofErr w:type="gramStart"/>
      <w:r>
        <w:rPr>
          <w:lang w:eastAsia="zh-CN"/>
        </w:rPr>
        <w:t>云计算</w:t>
      </w:r>
      <w:proofErr w:type="gramEnd"/>
      <w:r>
        <w:rPr>
          <w:lang w:eastAsia="zh-CN"/>
        </w:rPr>
        <w:t>项目，模型压缩、节能调度、</w:t>
      </w:r>
      <w:proofErr w:type="gramStart"/>
      <w:r>
        <w:rPr>
          <w:lang w:eastAsia="zh-CN"/>
        </w:rPr>
        <w:t>绿色算力和</w:t>
      </w:r>
      <w:proofErr w:type="gramEnd"/>
      <w:r>
        <w:rPr>
          <w:lang w:eastAsia="zh-CN"/>
        </w:rPr>
        <w:t>生命周期评估不只是性能优化问题，也关系到自然资源使用是否合理、环境成本是否被社会公平承担。</w:t>
      </w:r>
    </w:p>
    <w:p w14:paraId="37A0C62C" w14:textId="77777777" w:rsidR="00A7522E" w:rsidRDefault="00A7522E">
      <w:pPr>
        <w:rPr>
          <w:lang w:eastAsia="zh-CN"/>
        </w:rPr>
      </w:pPr>
    </w:p>
    <w:p w14:paraId="2DDF4AFF" w14:textId="77777777" w:rsidR="00A7522E" w:rsidRDefault="00000000">
      <w:pPr>
        <w:spacing w:before="40" w:after="120" w:line="264" w:lineRule="auto"/>
        <w:jc w:val="center"/>
        <w:rPr>
          <w:lang w:eastAsia="zh-CN"/>
        </w:rPr>
      </w:pPr>
      <w:r>
        <w:rPr>
          <w:sz w:val="20"/>
          <w:lang w:eastAsia="zh-CN"/>
        </w:rPr>
        <w:t>表</w:t>
      </w:r>
      <w:r>
        <w:rPr>
          <w:sz w:val="20"/>
          <w:lang w:eastAsia="zh-CN"/>
        </w:rPr>
        <w:t xml:space="preserve">1  </w:t>
      </w:r>
      <w:r>
        <w:rPr>
          <w:sz w:val="20"/>
          <w:lang w:eastAsia="zh-CN"/>
        </w:rPr>
        <w:t>公开资料调研结果与工程启示</w:t>
      </w:r>
    </w:p>
    <w:tbl>
      <w:tblPr>
        <w:tblStyle w:val="aff1"/>
        <w:tblW w:w="0" w:type="auto"/>
        <w:jc w:val="center"/>
        <w:tblLook w:val="04A0" w:firstRow="1" w:lastRow="0" w:firstColumn="1" w:lastColumn="0" w:noHBand="0" w:noVBand="1"/>
      </w:tblPr>
      <w:tblGrid>
        <w:gridCol w:w="1871"/>
        <w:gridCol w:w="3969"/>
        <w:gridCol w:w="3175"/>
      </w:tblGrid>
      <w:tr w:rsidR="00A7522E" w14:paraId="6C758E60" w14:textId="77777777">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14:paraId="6A4CD746" w14:textId="77777777" w:rsidR="00A7522E" w:rsidRDefault="00000000">
            <w:pPr>
              <w:spacing w:line="276" w:lineRule="auto"/>
              <w:jc w:val="center"/>
            </w:pPr>
            <w:proofErr w:type="spellStart"/>
            <w:r>
              <w:rPr>
                <w:rFonts w:eastAsia="Noto Sans CJK SC"/>
                <w:b/>
                <w:sz w:val="17"/>
              </w:rPr>
              <w:t>调研对象</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tcPr>
          <w:p w14:paraId="20EB92F1" w14:textId="77777777" w:rsidR="00A7522E" w:rsidRDefault="00000000">
            <w:pPr>
              <w:spacing w:line="276" w:lineRule="auto"/>
              <w:jc w:val="center"/>
            </w:pPr>
            <w:r>
              <w:rPr>
                <w:rFonts w:eastAsia="Noto Sans CJK SC"/>
                <w:b/>
                <w:sz w:val="17"/>
              </w:rPr>
              <w:t>关键发现或要求</w:t>
            </w:r>
          </w:p>
        </w:tc>
        <w:tc>
          <w:tcPr>
            <w:tcW w:w="3175" w:type="dxa"/>
            <w:tcBorders>
              <w:top w:val="single" w:sz="6" w:space="0" w:color="000000"/>
              <w:left w:val="single" w:sz="6" w:space="0" w:color="000000"/>
              <w:bottom w:val="single" w:sz="6" w:space="0" w:color="000000"/>
              <w:right w:val="single" w:sz="6" w:space="0" w:color="000000"/>
            </w:tcBorders>
            <w:vAlign w:val="center"/>
          </w:tcPr>
          <w:p w14:paraId="0870DA5B" w14:textId="77777777" w:rsidR="00A7522E" w:rsidRDefault="00000000">
            <w:pPr>
              <w:spacing w:line="276" w:lineRule="auto"/>
              <w:jc w:val="center"/>
            </w:pPr>
            <w:r>
              <w:rPr>
                <w:rFonts w:eastAsia="Noto Sans CJK SC"/>
                <w:b/>
                <w:sz w:val="17"/>
              </w:rPr>
              <w:t>工程启示</w:t>
            </w:r>
          </w:p>
        </w:tc>
      </w:tr>
      <w:tr w:rsidR="00A7522E" w14:paraId="28DC6433" w14:textId="77777777">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14:paraId="74E3F75A" w14:textId="77777777" w:rsidR="00A7522E" w:rsidRDefault="00000000">
            <w:pPr>
              <w:spacing w:line="276" w:lineRule="auto"/>
            </w:pPr>
            <w:r>
              <w:rPr>
                <w:sz w:val="17"/>
              </w:rPr>
              <w:t>Stanford AI Index 2025</w:t>
            </w:r>
          </w:p>
        </w:tc>
        <w:tc>
          <w:tcPr>
            <w:tcW w:w="3969" w:type="dxa"/>
            <w:tcBorders>
              <w:top w:val="single" w:sz="6" w:space="0" w:color="000000"/>
              <w:left w:val="single" w:sz="6" w:space="0" w:color="000000"/>
              <w:bottom w:val="single" w:sz="6" w:space="0" w:color="000000"/>
              <w:right w:val="single" w:sz="6" w:space="0" w:color="000000"/>
            </w:tcBorders>
            <w:vAlign w:val="center"/>
          </w:tcPr>
          <w:p w14:paraId="689528E9" w14:textId="77777777" w:rsidR="00A7522E" w:rsidRDefault="00000000">
            <w:pPr>
              <w:spacing w:line="276" w:lineRule="auto"/>
              <w:rPr>
                <w:lang w:eastAsia="zh-CN"/>
              </w:rPr>
            </w:pPr>
            <w:r>
              <w:rPr>
                <w:sz w:val="17"/>
                <w:lang w:eastAsia="zh-CN"/>
              </w:rPr>
              <w:t>2024</w:t>
            </w:r>
            <w:r>
              <w:rPr>
                <w:sz w:val="17"/>
                <w:lang w:eastAsia="zh-CN"/>
              </w:rPr>
              <w:t>年</w:t>
            </w:r>
            <w:r>
              <w:rPr>
                <w:sz w:val="17"/>
                <w:lang w:eastAsia="zh-CN"/>
              </w:rPr>
              <w:t>AI</w:t>
            </w:r>
            <w:r>
              <w:rPr>
                <w:sz w:val="17"/>
                <w:lang w:eastAsia="zh-CN"/>
              </w:rPr>
              <w:t>相关事件报告达到</w:t>
            </w:r>
            <w:r>
              <w:rPr>
                <w:sz w:val="17"/>
                <w:lang w:eastAsia="zh-CN"/>
              </w:rPr>
              <w:t>233</w:t>
            </w:r>
            <w:r>
              <w:rPr>
                <w:sz w:val="17"/>
                <w:lang w:eastAsia="zh-CN"/>
              </w:rPr>
              <w:t>起，较</w:t>
            </w:r>
            <w:r>
              <w:rPr>
                <w:sz w:val="17"/>
                <w:lang w:eastAsia="zh-CN"/>
              </w:rPr>
              <w:t>2023</w:t>
            </w:r>
            <w:r>
              <w:rPr>
                <w:sz w:val="17"/>
                <w:lang w:eastAsia="zh-CN"/>
              </w:rPr>
              <w:t>年增长</w:t>
            </w:r>
            <w:r>
              <w:rPr>
                <w:sz w:val="17"/>
                <w:lang w:eastAsia="zh-CN"/>
              </w:rPr>
              <w:t>56.4%</w:t>
            </w:r>
            <w:r>
              <w:rPr>
                <w:sz w:val="17"/>
                <w:lang w:eastAsia="zh-CN"/>
              </w:rPr>
              <w:t>。风险随技术扩散而外溢，事故与近失事件需要被记录和复盘。</w:t>
            </w:r>
          </w:p>
        </w:tc>
        <w:tc>
          <w:tcPr>
            <w:tcW w:w="3175" w:type="dxa"/>
            <w:tcBorders>
              <w:top w:val="single" w:sz="6" w:space="0" w:color="000000"/>
              <w:left w:val="single" w:sz="6" w:space="0" w:color="000000"/>
              <w:bottom w:val="single" w:sz="6" w:space="0" w:color="000000"/>
              <w:right w:val="single" w:sz="6" w:space="0" w:color="000000"/>
            </w:tcBorders>
            <w:vAlign w:val="center"/>
          </w:tcPr>
          <w:p w14:paraId="3D4F5E2B" w14:textId="77777777" w:rsidR="00A7522E" w:rsidRDefault="00000000">
            <w:pPr>
              <w:spacing w:line="276" w:lineRule="auto"/>
              <w:rPr>
                <w:lang w:eastAsia="zh-CN"/>
              </w:rPr>
            </w:pPr>
            <w:r>
              <w:rPr>
                <w:sz w:val="17"/>
                <w:lang w:eastAsia="zh-CN"/>
              </w:rPr>
              <w:t>不能只追求模型能力，还要建立持续监测、风险上报和公开说明机制。</w:t>
            </w:r>
          </w:p>
        </w:tc>
      </w:tr>
      <w:tr w:rsidR="00A7522E" w14:paraId="127E81BA" w14:textId="77777777">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14:paraId="29FCC46E" w14:textId="77777777" w:rsidR="00A7522E" w:rsidRDefault="00000000">
            <w:pPr>
              <w:spacing w:line="276" w:lineRule="auto"/>
            </w:pPr>
            <w:r>
              <w:rPr>
                <w:sz w:val="17"/>
              </w:rPr>
              <w:t>NIST AI RMF 1.0</w:t>
            </w:r>
          </w:p>
        </w:tc>
        <w:tc>
          <w:tcPr>
            <w:tcW w:w="3969" w:type="dxa"/>
            <w:tcBorders>
              <w:top w:val="single" w:sz="6" w:space="0" w:color="000000"/>
              <w:left w:val="single" w:sz="6" w:space="0" w:color="000000"/>
              <w:bottom w:val="single" w:sz="6" w:space="0" w:color="000000"/>
              <w:right w:val="single" w:sz="6" w:space="0" w:color="000000"/>
            </w:tcBorders>
            <w:vAlign w:val="center"/>
          </w:tcPr>
          <w:p w14:paraId="610889E0" w14:textId="77777777" w:rsidR="00A7522E" w:rsidRDefault="00000000">
            <w:pPr>
              <w:spacing w:line="276" w:lineRule="auto"/>
              <w:rPr>
                <w:lang w:eastAsia="zh-CN"/>
              </w:rPr>
            </w:pPr>
            <w:r>
              <w:rPr>
                <w:sz w:val="17"/>
                <w:lang w:eastAsia="zh-CN"/>
              </w:rPr>
              <w:t>可信</w:t>
            </w:r>
            <w:r>
              <w:rPr>
                <w:sz w:val="17"/>
                <w:lang w:eastAsia="zh-CN"/>
              </w:rPr>
              <w:t>AI</w:t>
            </w:r>
            <w:r>
              <w:rPr>
                <w:sz w:val="17"/>
                <w:lang w:eastAsia="zh-CN"/>
              </w:rPr>
              <w:t>强调可靠、安全、稳健、透明、可解释、隐私、公平和问责。智能系统的可靠性不仅是技术指标，也包含权利保护和责任可追溯。</w:t>
            </w:r>
          </w:p>
        </w:tc>
        <w:tc>
          <w:tcPr>
            <w:tcW w:w="3175" w:type="dxa"/>
            <w:tcBorders>
              <w:top w:val="single" w:sz="6" w:space="0" w:color="000000"/>
              <w:left w:val="single" w:sz="6" w:space="0" w:color="000000"/>
              <w:bottom w:val="single" w:sz="6" w:space="0" w:color="000000"/>
              <w:right w:val="single" w:sz="6" w:space="0" w:color="000000"/>
            </w:tcBorders>
            <w:vAlign w:val="center"/>
          </w:tcPr>
          <w:p w14:paraId="1F9E2F04" w14:textId="77777777" w:rsidR="00A7522E" w:rsidRDefault="00000000">
            <w:pPr>
              <w:spacing w:line="276" w:lineRule="auto"/>
              <w:rPr>
                <w:lang w:eastAsia="zh-CN"/>
              </w:rPr>
            </w:pPr>
            <w:r>
              <w:rPr>
                <w:sz w:val="17"/>
                <w:lang w:eastAsia="zh-CN"/>
              </w:rPr>
              <w:t>把可信要求写入需求、测试、上线、运营和版本迭代，而不是最后补文档。</w:t>
            </w:r>
          </w:p>
        </w:tc>
      </w:tr>
      <w:tr w:rsidR="00A7522E" w14:paraId="0434CD6C" w14:textId="77777777">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14:paraId="1A4364CF" w14:textId="77777777" w:rsidR="00A7522E" w:rsidRDefault="00000000">
            <w:pPr>
              <w:spacing w:line="276" w:lineRule="auto"/>
            </w:pPr>
            <w:proofErr w:type="spellStart"/>
            <w:r>
              <w:rPr>
                <w:sz w:val="17"/>
              </w:rPr>
              <w:t>欧盟</w:t>
            </w:r>
            <w:r>
              <w:rPr>
                <w:sz w:val="17"/>
              </w:rPr>
              <w:t>AI</w:t>
            </w:r>
            <w:r>
              <w:rPr>
                <w:sz w:val="17"/>
              </w:rPr>
              <w:t>法案</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tcPr>
          <w:p w14:paraId="267F216F" w14:textId="77777777" w:rsidR="00A7522E" w:rsidRDefault="00000000">
            <w:pPr>
              <w:spacing w:line="276" w:lineRule="auto"/>
              <w:rPr>
                <w:lang w:eastAsia="zh-CN"/>
              </w:rPr>
            </w:pPr>
            <w:r>
              <w:rPr>
                <w:sz w:val="17"/>
                <w:lang w:eastAsia="zh-CN"/>
              </w:rPr>
              <w:t>高风险</w:t>
            </w:r>
            <w:r>
              <w:rPr>
                <w:sz w:val="17"/>
                <w:lang w:eastAsia="zh-CN"/>
              </w:rPr>
              <w:t>AI</w:t>
            </w:r>
            <w:r>
              <w:rPr>
                <w:sz w:val="17"/>
                <w:lang w:eastAsia="zh-CN"/>
              </w:rPr>
              <w:t>系统需要风险管理、数据治理、技术文档、日志记录和人类监督。高影响场景不能只依靠企业自我声明。</w:t>
            </w:r>
          </w:p>
        </w:tc>
        <w:tc>
          <w:tcPr>
            <w:tcW w:w="3175" w:type="dxa"/>
            <w:tcBorders>
              <w:top w:val="single" w:sz="6" w:space="0" w:color="000000"/>
              <w:left w:val="single" w:sz="6" w:space="0" w:color="000000"/>
              <w:bottom w:val="single" w:sz="6" w:space="0" w:color="000000"/>
              <w:right w:val="single" w:sz="6" w:space="0" w:color="000000"/>
            </w:tcBorders>
            <w:vAlign w:val="center"/>
          </w:tcPr>
          <w:p w14:paraId="763256B1" w14:textId="77777777" w:rsidR="00A7522E" w:rsidRDefault="00000000">
            <w:pPr>
              <w:spacing w:line="276" w:lineRule="auto"/>
              <w:rPr>
                <w:lang w:eastAsia="zh-CN"/>
              </w:rPr>
            </w:pPr>
            <w:r>
              <w:rPr>
                <w:sz w:val="17"/>
                <w:lang w:eastAsia="zh-CN"/>
              </w:rPr>
              <w:t>上线前明确系统用途、受影响人群、残余风险和申诉渠道。</w:t>
            </w:r>
          </w:p>
        </w:tc>
      </w:tr>
      <w:tr w:rsidR="00A7522E" w14:paraId="4E7B2025" w14:textId="77777777">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14:paraId="78B96B4B" w14:textId="77777777" w:rsidR="00A7522E" w:rsidRDefault="00000000">
            <w:pPr>
              <w:spacing w:line="276" w:lineRule="auto"/>
            </w:pPr>
            <w:r>
              <w:rPr>
                <w:sz w:val="17"/>
              </w:rPr>
              <w:t>IEA Energy and AI</w:t>
            </w:r>
          </w:p>
        </w:tc>
        <w:tc>
          <w:tcPr>
            <w:tcW w:w="3969" w:type="dxa"/>
            <w:tcBorders>
              <w:top w:val="single" w:sz="6" w:space="0" w:color="000000"/>
              <w:left w:val="single" w:sz="6" w:space="0" w:color="000000"/>
              <w:bottom w:val="single" w:sz="6" w:space="0" w:color="000000"/>
              <w:right w:val="single" w:sz="6" w:space="0" w:color="000000"/>
            </w:tcBorders>
            <w:vAlign w:val="center"/>
          </w:tcPr>
          <w:p w14:paraId="7C560BE3" w14:textId="77777777" w:rsidR="00A7522E" w:rsidRDefault="00000000">
            <w:pPr>
              <w:spacing w:line="276" w:lineRule="auto"/>
              <w:rPr>
                <w:lang w:eastAsia="zh-CN"/>
              </w:rPr>
            </w:pPr>
            <w:r>
              <w:rPr>
                <w:sz w:val="17"/>
                <w:lang w:eastAsia="zh-CN"/>
              </w:rPr>
              <w:t>2030</w:t>
            </w:r>
            <w:r>
              <w:rPr>
                <w:sz w:val="17"/>
                <w:lang w:eastAsia="zh-CN"/>
              </w:rPr>
              <w:t>年全球数据中心用电可能达到约</w:t>
            </w:r>
            <w:r>
              <w:rPr>
                <w:sz w:val="17"/>
                <w:lang w:eastAsia="zh-CN"/>
              </w:rPr>
              <w:t>945TWh</w:t>
            </w:r>
            <w:r>
              <w:rPr>
                <w:sz w:val="17"/>
                <w:lang w:eastAsia="zh-CN"/>
              </w:rPr>
              <w:t>。数字工程也会产生资源消耗和环境成本。</w:t>
            </w:r>
          </w:p>
        </w:tc>
        <w:tc>
          <w:tcPr>
            <w:tcW w:w="3175" w:type="dxa"/>
            <w:tcBorders>
              <w:top w:val="single" w:sz="6" w:space="0" w:color="000000"/>
              <w:left w:val="single" w:sz="6" w:space="0" w:color="000000"/>
              <w:bottom w:val="single" w:sz="6" w:space="0" w:color="000000"/>
              <w:right w:val="single" w:sz="6" w:space="0" w:color="000000"/>
            </w:tcBorders>
            <w:vAlign w:val="center"/>
          </w:tcPr>
          <w:p w14:paraId="0C12F62F" w14:textId="77777777" w:rsidR="00A7522E" w:rsidRDefault="00000000">
            <w:pPr>
              <w:spacing w:line="276" w:lineRule="auto"/>
              <w:rPr>
                <w:lang w:eastAsia="zh-CN"/>
              </w:rPr>
            </w:pPr>
            <w:proofErr w:type="gramStart"/>
            <w:r>
              <w:rPr>
                <w:sz w:val="17"/>
                <w:lang w:eastAsia="zh-CN"/>
              </w:rPr>
              <w:t>算力效率</w:t>
            </w:r>
            <w:proofErr w:type="gramEnd"/>
            <w:r>
              <w:rPr>
                <w:sz w:val="17"/>
                <w:lang w:eastAsia="zh-CN"/>
              </w:rPr>
              <w:t>、能源来源和模型规模应纳入工程决策。</w:t>
            </w:r>
          </w:p>
        </w:tc>
      </w:tr>
      <w:tr w:rsidR="00A7522E" w14:paraId="099BBA87" w14:textId="77777777">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14:paraId="648D18AF" w14:textId="77777777" w:rsidR="00A7522E" w:rsidRDefault="00000000">
            <w:pPr>
              <w:spacing w:line="276" w:lineRule="auto"/>
            </w:pPr>
            <w:r>
              <w:rPr>
                <w:sz w:val="17"/>
              </w:rPr>
              <w:t xml:space="preserve">NTSB </w:t>
            </w:r>
            <w:proofErr w:type="spellStart"/>
            <w:r>
              <w:rPr>
                <w:sz w:val="17"/>
              </w:rPr>
              <w:t>Uber</w:t>
            </w:r>
            <w:r>
              <w:rPr>
                <w:sz w:val="17"/>
              </w:rPr>
              <w:t>事故报告</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tcPr>
          <w:p w14:paraId="13F8EB56" w14:textId="77777777" w:rsidR="00A7522E" w:rsidRDefault="00000000">
            <w:pPr>
              <w:spacing w:line="276" w:lineRule="auto"/>
              <w:rPr>
                <w:lang w:eastAsia="zh-CN"/>
              </w:rPr>
            </w:pPr>
            <w:r>
              <w:rPr>
                <w:sz w:val="17"/>
                <w:lang w:eastAsia="zh-CN"/>
              </w:rPr>
              <w:t>自动驾驶测试事故与系统设计、安全员注意力和组织安全文化有关。不能把复杂系统事故简单归结为某个个体失误。</w:t>
            </w:r>
          </w:p>
        </w:tc>
        <w:tc>
          <w:tcPr>
            <w:tcW w:w="3175" w:type="dxa"/>
            <w:tcBorders>
              <w:top w:val="single" w:sz="6" w:space="0" w:color="000000"/>
              <w:left w:val="single" w:sz="6" w:space="0" w:color="000000"/>
              <w:bottom w:val="single" w:sz="6" w:space="0" w:color="000000"/>
              <w:right w:val="single" w:sz="6" w:space="0" w:color="000000"/>
            </w:tcBorders>
            <w:vAlign w:val="center"/>
          </w:tcPr>
          <w:p w14:paraId="4F68FC16" w14:textId="77777777" w:rsidR="00A7522E" w:rsidRDefault="00000000">
            <w:pPr>
              <w:spacing w:line="276" w:lineRule="auto"/>
              <w:rPr>
                <w:lang w:eastAsia="zh-CN"/>
              </w:rPr>
            </w:pPr>
            <w:r>
              <w:rPr>
                <w:sz w:val="17"/>
                <w:lang w:eastAsia="zh-CN"/>
              </w:rPr>
              <w:t>人类监督必须可执行，风险提示和制动机制要真正发挥作用。</w:t>
            </w:r>
          </w:p>
        </w:tc>
      </w:tr>
    </w:tbl>
    <w:p w14:paraId="364F7B0D" w14:textId="77777777" w:rsidR="00A7522E" w:rsidRDefault="00000000">
      <w:pPr>
        <w:spacing w:before="160" w:after="0" w:line="240" w:lineRule="auto"/>
        <w:jc w:val="center"/>
      </w:pPr>
      <w:r>
        <w:rPr>
          <w:noProof/>
        </w:rPr>
        <w:drawing>
          <wp:inline distT="0" distB="0" distL="0" distR="0" wp14:anchorId="41B54C80" wp14:editId="634490C8">
            <wp:extent cx="4617720" cy="26007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伦理风险前置治理框架_黑白.png"/>
                    <pic:cNvPicPr/>
                  </pic:nvPicPr>
                  <pic:blipFill>
                    <a:blip r:embed="rId8"/>
                    <a:stretch>
                      <a:fillRect/>
                    </a:stretch>
                  </pic:blipFill>
                  <pic:spPr>
                    <a:xfrm>
                      <a:off x="0" y="0"/>
                      <a:ext cx="4617720" cy="2600722"/>
                    </a:xfrm>
                    <a:prstGeom prst="rect">
                      <a:avLst/>
                    </a:prstGeom>
                  </pic:spPr>
                </pic:pic>
              </a:graphicData>
            </a:graphic>
          </wp:inline>
        </w:drawing>
      </w:r>
    </w:p>
    <w:p w14:paraId="2230696E" w14:textId="77777777" w:rsidR="00A7522E" w:rsidRDefault="00000000">
      <w:pPr>
        <w:spacing w:before="40" w:after="120" w:line="264" w:lineRule="auto"/>
        <w:jc w:val="center"/>
        <w:rPr>
          <w:lang w:eastAsia="zh-CN"/>
        </w:rPr>
      </w:pPr>
      <w:r>
        <w:rPr>
          <w:sz w:val="20"/>
          <w:lang w:eastAsia="zh-CN"/>
        </w:rPr>
        <w:t>图</w:t>
      </w:r>
      <w:r>
        <w:rPr>
          <w:sz w:val="20"/>
          <w:lang w:eastAsia="zh-CN"/>
        </w:rPr>
        <w:t xml:space="preserve">1  </w:t>
      </w:r>
      <w:r>
        <w:rPr>
          <w:sz w:val="20"/>
          <w:lang w:eastAsia="zh-CN"/>
        </w:rPr>
        <w:t>智能系统全生命周期伦理风险治理框架</w:t>
      </w:r>
    </w:p>
    <w:p w14:paraId="36497448" w14:textId="77777777" w:rsidR="00A7522E" w:rsidRDefault="00000000">
      <w:pPr>
        <w:spacing w:before="40" w:after="0" w:line="240" w:lineRule="auto"/>
        <w:jc w:val="center"/>
      </w:pPr>
      <w:r>
        <w:rPr>
          <w:noProof/>
        </w:rPr>
        <w:lastRenderedPageBreak/>
        <w:drawing>
          <wp:inline distT="0" distB="0" distL="0" distR="0" wp14:anchorId="58733108" wp14:editId="562CDAB8">
            <wp:extent cx="3931920" cy="2710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事件报告数量_黑白.png"/>
                    <pic:cNvPicPr/>
                  </pic:nvPicPr>
                  <pic:blipFill>
                    <a:blip r:embed="rId9"/>
                    <a:stretch>
                      <a:fillRect/>
                    </a:stretch>
                  </pic:blipFill>
                  <pic:spPr>
                    <a:xfrm>
                      <a:off x="0" y="0"/>
                      <a:ext cx="3931920" cy="2710491"/>
                    </a:xfrm>
                    <a:prstGeom prst="rect">
                      <a:avLst/>
                    </a:prstGeom>
                  </pic:spPr>
                </pic:pic>
              </a:graphicData>
            </a:graphic>
          </wp:inline>
        </w:drawing>
      </w:r>
    </w:p>
    <w:p w14:paraId="3AFEC765" w14:textId="77777777" w:rsidR="00A7522E" w:rsidRDefault="00000000">
      <w:pPr>
        <w:spacing w:before="40" w:after="120" w:line="264" w:lineRule="auto"/>
        <w:jc w:val="center"/>
        <w:rPr>
          <w:lang w:eastAsia="zh-CN"/>
        </w:rPr>
      </w:pPr>
      <w:r>
        <w:rPr>
          <w:sz w:val="20"/>
          <w:lang w:eastAsia="zh-CN"/>
        </w:rPr>
        <w:t>图</w:t>
      </w:r>
      <w:r>
        <w:rPr>
          <w:sz w:val="20"/>
          <w:lang w:eastAsia="zh-CN"/>
        </w:rPr>
        <w:t>2  AI</w:t>
      </w:r>
      <w:r>
        <w:rPr>
          <w:sz w:val="20"/>
          <w:lang w:eastAsia="zh-CN"/>
        </w:rPr>
        <w:t>相关事件报告数量上升趋势</w:t>
      </w:r>
    </w:p>
    <w:p w14:paraId="5B345458" w14:textId="77777777" w:rsidR="00A7522E" w:rsidRDefault="00000000">
      <w:pPr>
        <w:spacing w:before="200" w:after="120" w:line="288" w:lineRule="auto"/>
        <w:rPr>
          <w:lang w:eastAsia="zh-CN"/>
        </w:rPr>
      </w:pPr>
      <w:r>
        <w:rPr>
          <w:rFonts w:eastAsia="Noto Sans CJK SC"/>
          <w:b/>
          <w:sz w:val="28"/>
          <w:lang w:eastAsia="zh-CN"/>
        </w:rPr>
        <w:t>四、案例分析：</w:t>
      </w:r>
      <w:r>
        <w:rPr>
          <w:rFonts w:eastAsia="Noto Sans CJK SC"/>
          <w:b/>
          <w:sz w:val="28"/>
          <w:lang w:eastAsia="zh-CN"/>
        </w:rPr>
        <w:t>Uber</w:t>
      </w:r>
      <w:r>
        <w:rPr>
          <w:rFonts w:eastAsia="Noto Sans CJK SC"/>
          <w:b/>
          <w:sz w:val="28"/>
          <w:lang w:eastAsia="zh-CN"/>
        </w:rPr>
        <w:t>自动驾驶事故中的责任链</w:t>
      </w:r>
    </w:p>
    <w:p w14:paraId="019487F8" w14:textId="77777777" w:rsidR="00A7522E" w:rsidRDefault="00000000">
      <w:pPr>
        <w:spacing w:after="80" w:line="360" w:lineRule="auto"/>
        <w:ind w:firstLine="420"/>
        <w:rPr>
          <w:lang w:eastAsia="zh-CN"/>
        </w:rPr>
      </w:pPr>
      <w:r>
        <w:rPr>
          <w:lang w:eastAsia="zh-CN"/>
        </w:rPr>
        <w:t>2018</w:t>
      </w:r>
      <w:r>
        <w:rPr>
          <w:lang w:eastAsia="zh-CN"/>
        </w:rPr>
        <w:t>年</w:t>
      </w:r>
      <w:r>
        <w:rPr>
          <w:lang w:eastAsia="zh-CN"/>
        </w:rPr>
        <w:t>3</w:t>
      </w:r>
      <w:r>
        <w:rPr>
          <w:lang w:eastAsia="zh-CN"/>
        </w:rPr>
        <w:t>月，美国亚利桑那州</w:t>
      </w:r>
      <w:r>
        <w:rPr>
          <w:lang w:eastAsia="zh-CN"/>
        </w:rPr>
        <w:t>Tempe</w:t>
      </w:r>
      <w:r>
        <w:rPr>
          <w:lang w:eastAsia="zh-CN"/>
        </w:rPr>
        <w:t>市发生</w:t>
      </w:r>
      <w:r>
        <w:rPr>
          <w:lang w:eastAsia="zh-CN"/>
        </w:rPr>
        <w:t>Uber</w:t>
      </w:r>
      <w:r>
        <w:rPr>
          <w:lang w:eastAsia="zh-CN"/>
        </w:rPr>
        <w:t>自动驾驶测试车辆撞击行人并致死的事故。美国国家运输安全委员会的事故报告显示，事故与车辆操作者未能持续观察道路有关，但更深层的问题包括自动驾驶测试系统设计、企业安全管理和监督机制等因素</w:t>
      </w:r>
      <w:r>
        <w:rPr>
          <w:lang w:eastAsia="zh-CN"/>
        </w:rPr>
        <w:t>[3]</w:t>
      </w:r>
      <w:r>
        <w:rPr>
          <w:lang w:eastAsia="zh-CN"/>
        </w:rPr>
        <w:t>。如果只把事故解释为</w:t>
      </w:r>
      <w:r>
        <w:rPr>
          <w:lang w:eastAsia="zh-CN"/>
        </w:rPr>
        <w:t>“</w:t>
      </w:r>
      <w:r>
        <w:rPr>
          <w:lang w:eastAsia="zh-CN"/>
        </w:rPr>
        <w:t>安全员没有看路</w:t>
      </w:r>
      <w:r>
        <w:rPr>
          <w:lang w:eastAsia="zh-CN"/>
        </w:rPr>
        <w:t>”</w:t>
      </w:r>
      <w:r>
        <w:rPr>
          <w:lang w:eastAsia="zh-CN"/>
        </w:rPr>
        <w:t>，就会忽略复杂工程系统中更重要的责任链。</w:t>
      </w:r>
    </w:p>
    <w:p w14:paraId="3A30D9F6" w14:textId="77777777" w:rsidR="00A7522E" w:rsidRDefault="00000000">
      <w:pPr>
        <w:spacing w:after="80" w:line="360" w:lineRule="auto"/>
        <w:ind w:firstLine="420"/>
        <w:rPr>
          <w:lang w:eastAsia="zh-CN"/>
        </w:rPr>
      </w:pPr>
      <w:r>
        <w:rPr>
          <w:lang w:eastAsia="zh-CN"/>
        </w:rPr>
        <w:t>这起事故最值得反思的地方，是企业把人类监督当作最后一道安全屏障，却没有充分考虑人在长时间被动监控自动化系统时容易出现注意力下降。让人长时间等待机器犯错，并要求其在极短时间内完成接管，本身就是一种脆弱的人机协同设计。人因问题并不是简单责备某个人，而应追问设计和管理是否让错误更容易发生。</w:t>
      </w:r>
    </w:p>
    <w:p w14:paraId="7F2673ED" w14:textId="77777777" w:rsidR="00A7522E" w:rsidRDefault="00000000">
      <w:pPr>
        <w:spacing w:after="80" w:line="360" w:lineRule="auto"/>
        <w:ind w:firstLine="420"/>
        <w:rPr>
          <w:lang w:eastAsia="zh-CN"/>
        </w:rPr>
      </w:pPr>
      <w:r>
        <w:rPr>
          <w:lang w:eastAsia="zh-CN"/>
        </w:rPr>
        <w:t>从工程责任看，自动驾驶系统至少需要三类保障。第一是技术保障，包括感知、规划、制动和冗余设计，以及仿真、封闭场地和开放道路的分级测试。第二是信息保障，即向监管者、测试人员和公众清楚说明系统能力边界，不用模糊宣传制造过度信任。第三是组织保障，即建立能让工程师报告风险、暂停测试、复盘异常的安全文化。当进度压力与安全验证发生冲突时，工程师不能只以</w:t>
      </w:r>
      <w:r>
        <w:rPr>
          <w:lang w:eastAsia="zh-CN"/>
        </w:rPr>
        <w:t>“</w:t>
      </w:r>
      <w:r>
        <w:rPr>
          <w:lang w:eastAsia="zh-CN"/>
        </w:rPr>
        <w:t>我完成了自己的模块</w:t>
      </w:r>
      <w:r>
        <w:rPr>
          <w:lang w:eastAsia="zh-CN"/>
        </w:rPr>
        <w:t>”</w:t>
      </w:r>
      <w:r>
        <w:rPr>
          <w:lang w:eastAsia="zh-CN"/>
        </w:rPr>
        <w:t>为由退出责任链。</w:t>
      </w:r>
    </w:p>
    <w:p w14:paraId="013A544C" w14:textId="77777777" w:rsidR="00A7522E" w:rsidRDefault="00000000">
      <w:pPr>
        <w:spacing w:before="200" w:after="120" w:line="288" w:lineRule="auto"/>
        <w:rPr>
          <w:lang w:eastAsia="zh-CN"/>
        </w:rPr>
      </w:pPr>
      <w:r>
        <w:rPr>
          <w:rFonts w:eastAsia="Noto Sans CJK SC"/>
          <w:b/>
          <w:sz w:val="28"/>
          <w:lang w:eastAsia="zh-CN"/>
        </w:rPr>
        <w:t>五、公平、隐私与环境：智能工程中容易被忽视的社会成本</w:t>
      </w:r>
    </w:p>
    <w:p w14:paraId="35C08B34" w14:textId="77777777" w:rsidR="00A7522E" w:rsidRDefault="00000000">
      <w:pPr>
        <w:spacing w:after="80" w:line="360" w:lineRule="auto"/>
        <w:ind w:firstLine="420"/>
        <w:rPr>
          <w:lang w:eastAsia="zh-CN"/>
        </w:rPr>
      </w:pPr>
      <w:r>
        <w:rPr>
          <w:lang w:eastAsia="zh-CN"/>
        </w:rPr>
        <w:t>智能系统往往以效率为卖点，但效率并不自动等于公正。以招聘筛选模型为例，如果训练数据来自过去的招聘记录，模型可能继承历史偏见，使某些群体在第一轮筛选中长期处于不利位置。又如城市治理中的摄像识别系统，可以提升管理效率，但如果缺少明确边界、授权和监督，也可</w:t>
      </w:r>
      <w:r>
        <w:rPr>
          <w:lang w:eastAsia="zh-CN"/>
        </w:rPr>
        <w:lastRenderedPageBreak/>
        <w:t>能扩大对个人隐私的侵入。工程价值不应只看使用者或投资者得到了什么，还要看谁承担了风险、谁被排除在服务之外、谁在出错后能够获得解释和补救。</w:t>
      </w:r>
    </w:p>
    <w:p w14:paraId="36A90815" w14:textId="77777777" w:rsidR="00A7522E" w:rsidRDefault="00000000">
      <w:pPr>
        <w:spacing w:after="80" w:line="360" w:lineRule="auto"/>
        <w:ind w:firstLine="420"/>
        <w:rPr>
          <w:lang w:eastAsia="zh-CN"/>
        </w:rPr>
      </w:pPr>
      <w:r>
        <w:rPr>
          <w:lang w:eastAsia="zh-CN"/>
        </w:rPr>
        <w:t>在生成式人工智能场景中，公平和责任还表现为信息质量问题。大模型可以快速生成文本、代码和建议，但也可能产生貌似合理却并不准确的内容。如果这些内容进入医疗咨询、法律辅助、教育评价等高影响场景，错误就不再只是</w:t>
      </w:r>
      <w:r>
        <w:rPr>
          <w:lang w:eastAsia="zh-CN"/>
        </w:rPr>
        <w:t>“</w:t>
      </w:r>
      <w:r>
        <w:rPr>
          <w:lang w:eastAsia="zh-CN"/>
        </w:rPr>
        <w:t>回答不准</w:t>
      </w:r>
      <w:r>
        <w:rPr>
          <w:lang w:eastAsia="zh-CN"/>
        </w:rPr>
        <w:t>”</w:t>
      </w:r>
      <w:r>
        <w:rPr>
          <w:lang w:eastAsia="zh-CN"/>
        </w:rPr>
        <w:t>，而可能影响人的权益和机会。工程师在设计系统时，应当区分娱乐性、辅助性和高风险用途，给不同场景设置不同的可靠性要求和人工复核机制。</w:t>
      </w:r>
    </w:p>
    <w:p w14:paraId="0DA7E9CB" w14:textId="77777777" w:rsidR="00A7522E" w:rsidRDefault="00000000">
      <w:pPr>
        <w:spacing w:after="80" w:line="360" w:lineRule="auto"/>
        <w:ind w:firstLine="420"/>
        <w:rPr>
          <w:lang w:eastAsia="zh-CN"/>
        </w:rPr>
      </w:pPr>
      <w:r>
        <w:rPr>
          <w:lang w:eastAsia="zh-CN"/>
        </w:rPr>
        <w:t>环境成本同样不能被忽视。过去谈工程环境责任时，人们更容易想到水利、矿山、化工和交通工程；但今天的数据中心、模型训练和大规模推理也在消耗电力、冷却水和硬件资源。一个负责任的智能工程方案，不应只比较参数规模和榜单分数，还应比较单位任务能耗、硬件生命周期、可再生能源比例以及是否存在过度计算。把</w:t>
      </w:r>
      <w:r>
        <w:rPr>
          <w:lang w:eastAsia="zh-CN"/>
        </w:rPr>
        <w:t>“</w:t>
      </w:r>
      <w:r>
        <w:rPr>
          <w:lang w:eastAsia="zh-CN"/>
        </w:rPr>
        <w:t>绿色设计</w:t>
      </w:r>
      <w:r>
        <w:rPr>
          <w:lang w:eastAsia="zh-CN"/>
        </w:rPr>
        <w:t>”</w:t>
      </w:r>
      <w:r>
        <w:rPr>
          <w:lang w:eastAsia="zh-CN"/>
        </w:rPr>
        <w:t>用于数字工程，并不是降低技术追求，而是让技术追求回到长期公共利益之中。</w:t>
      </w:r>
    </w:p>
    <w:p w14:paraId="7DC0D441" w14:textId="77777777" w:rsidR="00A7522E" w:rsidRDefault="00000000">
      <w:pPr>
        <w:spacing w:before="200" w:after="120" w:line="288" w:lineRule="auto"/>
        <w:rPr>
          <w:lang w:eastAsia="zh-CN"/>
        </w:rPr>
      </w:pPr>
      <w:r>
        <w:rPr>
          <w:rFonts w:eastAsia="Noto Sans CJK SC"/>
          <w:b/>
          <w:sz w:val="28"/>
          <w:lang w:eastAsia="zh-CN"/>
        </w:rPr>
        <w:t>六、我的思考：把伦理做成工程流程，而不是写成口号</w:t>
      </w:r>
    </w:p>
    <w:p w14:paraId="699BB4B3" w14:textId="77777777" w:rsidR="00A7522E" w:rsidRDefault="00000000">
      <w:pPr>
        <w:spacing w:after="80" w:line="360" w:lineRule="auto"/>
        <w:ind w:firstLine="420"/>
        <w:rPr>
          <w:lang w:eastAsia="zh-CN"/>
        </w:rPr>
      </w:pPr>
      <w:r>
        <w:rPr>
          <w:lang w:eastAsia="zh-CN"/>
        </w:rPr>
        <w:t>通过对智能系统的分析，我对工程伦理的理解发生了变化。伦理并不是事故发生后才讨论谁对谁错，也不是在项目材料中增加几句</w:t>
      </w:r>
      <w:r>
        <w:rPr>
          <w:lang w:eastAsia="zh-CN"/>
        </w:rPr>
        <w:t>“</w:t>
      </w:r>
      <w:r>
        <w:rPr>
          <w:lang w:eastAsia="zh-CN"/>
        </w:rPr>
        <w:t>重视社会责任</w:t>
      </w:r>
      <w:r>
        <w:rPr>
          <w:lang w:eastAsia="zh-CN"/>
        </w:rPr>
        <w:t>”</w:t>
      </w:r>
      <w:r>
        <w:rPr>
          <w:lang w:eastAsia="zh-CN"/>
        </w:rPr>
        <w:t>的表述。它更像一种前置能力，要求工程师在方案还没有定型时就不断追问：最坏结果是什么？哪些人没有机会表达自己的利益？系统边界是否被如实说明？如果发生错误，用户是否能够知道、申诉并获得补救？这些问题看似不属于代码或图纸，却决定了工程能否被社会信任。</w:t>
      </w:r>
    </w:p>
    <w:p w14:paraId="1570373C" w14:textId="77777777" w:rsidR="00A7522E" w:rsidRDefault="00000000">
      <w:pPr>
        <w:spacing w:after="80" w:line="360" w:lineRule="auto"/>
        <w:ind w:firstLine="420"/>
        <w:rPr>
          <w:lang w:eastAsia="zh-CN"/>
        </w:rPr>
      </w:pPr>
      <w:r>
        <w:rPr>
          <w:lang w:eastAsia="zh-CN"/>
        </w:rPr>
        <w:t>我认为，实际项目中可以把伦理要求转化为五个可执行环节。立项阶段要识别攸关方，写明直接用户、间接受影响者和潜在受害者；数据阶段要记录来源、授权、代表性和可能偏差；模型阶段不能只报告总体精度，还要报告不同群体、不同场景和极端条件下的表现；部署阶段要设置日志追踪、人工复核、退出机制和申诉渠道；运营阶段则要把投诉、事故和近失事件纳入版本迭代。这样做并不一定显著增加形式成本，却能减少因为早期疏忽而造成的巨大社会代价。</w:t>
      </w:r>
    </w:p>
    <w:p w14:paraId="0D03A41C" w14:textId="77777777" w:rsidR="00A7522E" w:rsidRDefault="00000000">
      <w:pPr>
        <w:spacing w:after="80" w:line="360" w:lineRule="auto"/>
        <w:ind w:firstLine="420"/>
        <w:rPr>
          <w:lang w:eastAsia="zh-CN"/>
        </w:rPr>
      </w:pPr>
      <w:r>
        <w:rPr>
          <w:lang w:eastAsia="zh-CN"/>
        </w:rPr>
        <w:t>工程师并不是万能的，很多风险也不是个人能够完全解决的。复杂工程往往受到企业目标、资本压力、监管制度和社会文化的共同影响。但这并不意味着个人可以放弃责任。工程师的特殊位置在于，他最了解系统真实能力、边界和异常信号，也最可能在事故发生前发现问题。如果专业人员在关键时刻保持沉默，外部公众往往很难及时理解风险。职业责任的意义，正是让专业知识不仅服务于效率和利润，</w:t>
      </w:r>
      <w:proofErr w:type="gramStart"/>
      <w:r>
        <w:rPr>
          <w:lang w:eastAsia="zh-CN"/>
        </w:rPr>
        <w:t>也服务</w:t>
      </w:r>
      <w:proofErr w:type="gramEnd"/>
      <w:r>
        <w:rPr>
          <w:lang w:eastAsia="zh-CN"/>
        </w:rPr>
        <w:t>于安全、真诚和社会信任。</w:t>
      </w:r>
    </w:p>
    <w:p w14:paraId="5FBB7932" w14:textId="77777777" w:rsidR="00A7522E" w:rsidRDefault="00000000">
      <w:pPr>
        <w:spacing w:before="200" w:after="120" w:line="288" w:lineRule="auto"/>
        <w:rPr>
          <w:lang w:eastAsia="zh-CN"/>
        </w:rPr>
      </w:pPr>
      <w:r>
        <w:rPr>
          <w:rFonts w:eastAsia="Noto Sans CJK SC"/>
          <w:b/>
          <w:sz w:val="28"/>
          <w:lang w:eastAsia="zh-CN"/>
        </w:rPr>
        <w:lastRenderedPageBreak/>
        <w:t>七、结论</w:t>
      </w:r>
    </w:p>
    <w:p w14:paraId="362567C1" w14:textId="77777777" w:rsidR="00A7522E" w:rsidRDefault="00000000">
      <w:pPr>
        <w:spacing w:after="80" w:line="360" w:lineRule="auto"/>
        <w:ind w:firstLine="420"/>
        <w:rPr>
          <w:lang w:eastAsia="zh-CN"/>
        </w:rPr>
      </w:pPr>
      <w:r>
        <w:rPr>
          <w:lang w:eastAsia="zh-CN"/>
        </w:rPr>
        <w:t>智能系统正在把工程伦理问题推向更复杂的层面。算法可以自动运行，但责任不能自动消失；模型可以不断迭代，但公众安全、基本权利和环境可持续不能被当作试错成本。通过调研</w:t>
      </w:r>
      <w:r>
        <w:rPr>
          <w:lang w:eastAsia="zh-CN"/>
        </w:rPr>
        <w:t>AI</w:t>
      </w:r>
      <w:r>
        <w:rPr>
          <w:lang w:eastAsia="zh-CN"/>
        </w:rPr>
        <w:t>事件报告、风险管理框架、</w:t>
      </w:r>
      <w:r>
        <w:rPr>
          <w:lang w:eastAsia="zh-CN"/>
        </w:rPr>
        <w:t>AI</w:t>
      </w:r>
      <w:r>
        <w:rPr>
          <w:lang w:eastAsia="zh-CN"/>
        </w:rPr>
        <w:t>法案、数据中心能耗以及自动驾驶事故可以看到，智能工程风险具有技术、环境和人为因素交织的特点，治理也必须贯穿全生命周期。</w:t>
      </w:r>
    </w:p>
    <w:p w14:paraId="540A22DD" w14:textId="77777777" w:rsidR="00A7522E" w:rsidRDefault="00000000">
      <w:pPr>
        <w:spacing w:after="80" w:line="360" w:lineRule="auto"/>
        <w:ind w:firstLine="420"/>
        <w:rPr>
          <w:lang w:eastAsia="zh-CN"/>
        </w:rPr>
      </w:pPr>
      <w:r>
        <w:rPr>
          <w:lang w:eastAsia="zh-CN"/>
        </w:rPr>
        <w:t>对我个人而言，本文最大的收获是：未来无论从事软件开发、人工智能研究还是工程管理，都不能只问</w:t>
      </w:r>
      <w:r>
        <w:rPr>
          <w:lang w:eastAsia="zh-CN"/>
        </w:rPr>
        <w:t>“</w:t>
      </w:r>
      <w:r>
        <w:rPr>
          <w:lang w:eastAsia="zh-CN"/>
        </w:rPr>
        <w:t>能不能做出来</w:t>
      </w:r>
      <w:r>
        <w:rPr>
          <w:lang w:eastAsia="zh-CN"/>
        </w:rPr>
        <w:t>”</w:t>
      </w:r>
      <w:r>
        <w:rPr>
          <w:lang w:eastAsia="zh-CN"/>
        </w:rPr>
        <w:t>，还要问</w:t>
      </w:r>
      <w:r>
        <w:rPr>
          <w:lang w:eastAsia="zh-CN"/>
        </w:rPr>
        <w:t>“</w:t>
      </w:r>
      <w:r>
        <w:rPr>
          <w:lang w:eastAsia="zh-CN"/>
        </w:rPr>
        <w:t>应不应该这样做、怎样做才对社会负责</w:t>
      </w:r>
      <w:r>
        <w:rPr>
          <w:lang w:eastAsia="zh-CN"/>
        </w:rPr>
        <w:t>”</w:t>
      </w:r>
      <w:r>
        <w:rPr>
          <w:lang w:eastAsia="zh-CN"/>
        </w:rPr>
        <w:t>。合格工程师的专业能力不仅体现在解决技术难题，也体现在愿意面对技术后果、识别沉默的风险、保护缺少发声能力的攸关方。只有把伦理内化为工程流程的一部分，工程才能真正服务于人的福祉，而不是让人被动承受技术副作用。</w:t>
      </w:r>
    </w:p>
    <w:p w14:paraId="23E86AA1" w14:textId="77777777" w:rsidR="00A7522E" w:rsidRDefault="00000000">
      <w:pPr>
        <w:rPr>
          <w:lang w:eastAsia="zh-CN"/>
        </w:rPr>
      </w:pPr>
      <w:r>
        <w:rPr>
          <w:lang w:eastAsia="zh-CN"/>
        </w:rPr>
        <w:br w:type="page"/>
      </w:r>
    </w:p>
    <w:p w14:paraId="264F5D02" w14:textId="77777777" w:rsidR="00A7522E" w:rsidRDefault="00000000">
      <w:pPr>
        <w:spacing w:before="200" w:after="120" w:line="288" w:lineRule="auto"/>
        <w:rPr>
          <w:lang w:eastAsia="zh-CN"/>
        </w:rPr>
      </w:pPr>
      <w:r>
        <w:rPr>
          <w:rFonts w:eastAsia="Noto Sans CJK SC"/>
          <w:b/>
          <w:sz w:val="28"/>
          <w:lang w:eastAsia="zh-CN"/>
        </w:rPr>
        <w:lastRenderedPageBreak/>
        <w:t>参考文献</w:t>
      </w:r>
    </w:p>
    <w:p w14:paraId="4DAFEA3F" w14:textId="77777777" w:rsidR="00A7522E" w:rsidRDefault="00000000">
      <w:pPr>
        <w:spacing w:after="40" w:line="300" w:lineRule="auto"/>
        <w:ind w:left="425" w:hanging="425"/>
        <w:rPr>
          <w:lang w:eastAsia="zh-CN"/>
        </w:rPr>
      </w:pPr>
      <w:r>
        <w:rPr>
          <w:sz w:val="21"/>
          <w:lang w:eastAsia="zh-CN"/>
        </w:rPr>
        <w:t xml:space="preserve">[1] </w:t>
      </w:r>
      <w:r>
        <w:rPr>
          <w:sz w:val="21"/>
          <w:lang w:eastAsia="zh-CN"/>
        </w:rPr>
        <w:t>李正风</w:t>
      </w:r>
      <w:r>
        <w:rPr>
          <w:sz w:val="21"/>
          <w:lang w:eastAsia="zh-CN"/>
        </w:rPr>
        <w:t xml:space="preserve">, </w:t>
      </w:r>
      <w:proofErr w:type="gramStart"/>
      <w:r>
        <w:rPr>
          <w:sz w:val="21"/>
          <w:lang w:eastAsia="zh-CN"/>
        </w:rPr>
        <w:t>丛杭青</w:t>
      </w:r>
      <w:proofErr w:type="gramEnd"/>
      <w:r>
        <w:rPr>
          <w:sz w:val="21"/>
          <w:lang w:eastAsia="zh-CN"/>
        </w:rPr>
        <w:t xml:space="preserve">, </w:t>
      </w:r>
      <w:proofErr w:type="gramStart"/>
      <w:r>
        <w:rPr>
          <w:sz w:val="21"/>
          <w:lang w:eastAsia="zh-CN"/>
        </w:rPr>
        <w:t>王前</w:t>
      </w:r>
      <w:proofErr w:type="gramEnd"/>
      <w:r>
        <w:rPr>
          <w:sz w:val="21"/>
          <w:lang w:eastAsia="zh-CN"/>
        </w:rPr>
        <w:t xml:space="preserve">, </w:t>
      </w:r>
      <w:r>
        <w:rPr>
          <w:sz w:val="21"/>
          <w:lang w:eastAsia="zh-CN"/>
        </w:rPr>
        <w:t>等</w:t>
      </w:r>
      <w:r>
        <w:rPr>
          <w:sz w:val="21"/>
          <w:lang w:eastAsia="zh-CN"/>
        </w:rPr>
        <w:t xml:space="preserve">. </w:t>
      </w:r>
      <w:r>
        <w:rPr>
          <w:sz w:val="21"/>
          <w:lang w:eastAsia="zh-CN"/>
        </w:rPr>
        <w:t>工程伦理</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70BA4887" w14:textId="77777777" w:rsidR="00A7522E" w:rsidRDefault="00000000">
      <w:pPr>
        <w:spacing w:after="40" w:line="300" w:lineRule="auto"/>
        <w:ind w:left="425" w:hanging="425"/>
      </w:pPr>
      <w:r>
        <w:rPr>
          <w:sz w:val="21"/>
        </w:rPr>
        <w:t xml:space="preserve">[2] Harris C E, Pritchard M S, Rabins M J, </w:t>
      </w:r>
      <w:r>
        <w:rPr>
          <w:sz w:val="21"/>
        </w:rPr>
        <w:t>等</w:t>
      </w:r>
      <w:r>
        <w:rPr>
          <w:sz w:val="21"/>
        </w:rPr>
        <w:t xml:space="preserve">. </w:t>
      </w:r>
      <w:r>
        <w:rPr>
          <w:sz w:val="21"/>
        </w:rPr>
        <w:t>工程伦理</w:t>
      </w:r>
      <w:r>
        <w:rPr>
          <w:sz w:val="21"/>
        </w:rPr>
        <w:t xml:space="preserve">: </w:t>
      </w:r>
      <w:r>
        <w:rPr>
          <w:sz w:val="21"/>
        </w:rPr>
        <w:t>概念与案例</w:t>
      </w:r>
      <w:r>
        <w:rPr>
          <w:sz w:val="21"/>
        </w:rPr>
        <w:t xml:space="preserve">[M]. </w:t>
      </w:r>
      <w:r>
        <w:rPr>
          <w:sz w:val="21"/>
        </w:rPr>
        <w:t>丛杭青</w:t>
      </w:r>
      <w:r>
        <w:rPr>
          <w:sz w:val="21"/>
        </w:rPr>
        <w:t xml:space="preserve">, </w:t>
      </w:r>
      <w:r>
        <w:rPr>
          <w:sz w:val="21"/>
        </w:rPr>
        <w:t>译</w:t>
      </w:r>
      <w:r>
        <w:rPr>
          <w:sz w:val="21"/>
        </w:rPr>
        <w:t xml:space="preserve">. </w:t>
      </w:r>
      <w:r>
        <w:rPr>
          <w:sz w:val="21"/>
        </w:rPr>
        <w:t>杭州</w:t>
      </w:r>
      <w:r>
        <w:rPr>
          <w:sz w:val="21"/>
        </w:rPr>
        <w:t xml:space="preserve">: </w:t>
      </w:r>
      <w:r>
        <w:rPr>
          <w:sz w:val="21"/>
        </w:rPr>
        <w:t>浙江大学出版社</w:t>
      </w:r>
      <w:r>
        <w:rPr>
          <w:sz w:val="21"/>
        </w:rPr>
        <w:t>, 2018.</w:t>
      </w:r>
    </w:p>
    <w:p w14:paraId="357D547C" w14:textId="77777777" w:rsidR="00A7522E" w:rsidRDefault="00000000">
      <w:pPr>
        <w:spacing w:after="40" w:line="300" w:lineRule="auto"/>
        <w:ind w:left="425" w:hanging="425"/>
      </w:pPr>
      <w:r>
        <w:rPr>
          <w:sz w:val="21"/>
        </w:rPr>
        <w:t>[3] National Transportation Safety Board. Collision Between Vehicle Controlled by Developmental Automated Driving System and Pedestrian, Tempe, Arizona, March 18, 2018[R]. Washington, DC: NTSB, 2019.</w:t>
      </w:r>
    </w:p>
    <w:p w14:paraId="241EF330" w14:textId="77777777" w:rsidR="00A7522E" w:rsidRDefault="00000000">
      <w:pPr>
        <w:spacing w:after="40" w:line="300" w:lineRule="auto"/>
        <w:ind w:left="425" w:hanging="425"/>
      </w:pPr>
      <w:r>
        <w:rPr>
          <w:sz w:val="21"/>
        </w:rPr>
        <w:t>[4] National Institute of Standards and Technology. Artificial Intelligence Risk Management Framework (AI RMF 1.0)[R]. Gaithersburg: NIST, 2023.</w:t>
      </w:r>
    </w:p>
    <w:p w14:paraId="52643F9E" w14:textId="77777777" w:rsidR="00A7522E" w:rsidRDefault="00000000">
      <w:pPr>
        <w:spacing w:after="40" w:line="300" w:lineRule="auto"/>
        <w:ind w:left="425" w:hanging="425"/>
      </w:pPr>
      <w:r>
        <w:rPr>
          <w:sz w:val="21"/>
        </w:rPr>
        <w:t>[5] European Commission. AI Act: Europe's Regulatory Framework for Artificial Intelligence[EB/OL]. 2024.</w:t>
      </w:r>
    </w:p>
    <w:p w14:paraId="6AE97FAA" w14:textId="77777777" w:rsidR="00A7522E" w:rsidRDefault="00000000">
      <w:pPr>
        <w:spacing w:after="40" w:line="300" w:lineRule="auto"/>
        <w:ind w:left="425" w:hanging="425"/>
      </w:pPr>
      <w:r>
        <w:rPr>
          <w:sz w:val="21"/>
        </w:rPr>
        <w:t>[6] Stanford Institute for Human-Centered Artificial Intelligence. The 2025 AI Index Report[R]. Stanford: Stanford University, 2025.</w:t>
      </w:r>
    </w:p>
    <w:p w14:paraId="1AD392D9" w14:textId="77777777" w:rsidR="00A7522E" w:rsidRDefault="00000000">
      <w:pPr>
        <w:spacing w:after="40" w:line="300" w:lineRule="auto"/>
        <w:ind w:left="425" w:hanging="425"/>
      </w:pPr>
      <w:r>
        <w:rPr>
          <w:sz w:val="21"/>
        </w:rPr>
        <w:t>[7] International Energy Agency. Energy and AI[R]. Paris: IEA, 2025.</w:t>
      </w:r>
    </w:p>
    <w:sectPr w:rsidR="00A7522E" w:rsidSect="00034616">
      <w:footerReference w:type="default" r:id="rId10"/>
      <w:pgSz w:w="12240" w:h="15840"/>
      <w:pgMar w:top="1417" w:right="1417"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FD1D" w14:textId="77777777" w:rsidR="00FD3E31" w:rsidRDefault="00FD3E31">
      <w:pPr>
        <w:spacing w:after="0" w:line="240" w:lineRule="auto"/>
      </w:pPr>
      <w:r>
        <w:separator/>
      </w:r>
    </w:p>
  </w:endnote>
  <w:endnote w:type="continuationSeparator" w:id="0">
    <w:p w14:paraId="36ED1540" w14:textId="77777777" w:rsidR="00FD3E31" w:rsidRDefault="00FD3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6C42" w14:textId="77777777" w:rsidR="00A7522E" w:rsidRDefault="00000000">
    <w:pPr>
      <w:pStyle w:val="a7"/>
      <w:jc w:val="center"/>
    </w:pPr>
    <w:r>
      <w:rPr>
        <w:rFonts w:eastAsia="Times New Roman"/>
        <w:sz w:val="18"/>
      </w:rPr>
      <w:fldChar w:fldCharType="begin"/>
    </w:r>
    <w:r>
      <w:rPr>
        <w:rFonts w:eastAsia="Times New Roman"/>
        <w:sz w:val="18"/>
      </w:rPr>
      <w:instrText xml:space="preserve"> PAGE </w:instrText>
    </w:r>
    <w:r w:rsidR="008D24D5">
      <w:rPr>
        <w:rFonts w:eastAsia="Times New Roman"/>
        <w:sz w:val="18"/>
      </w:rPr>
      <w:fldChar w:fldCharType="separate"/>
    </w:r>
    <w:r w:rsidR="008D24D5">
      <w:rPr>
        <w:rFonts w:eastAsia="Times New Roman"/>
        <w:noProof/>
        <w:sz w:val="18"/>
      </w:rPr>
      <w:t>1</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F0E6" w14:textId="77777777" w:rsidR="00FD3E31" w:rsidRDefault="00FD3E31">
      <w:pPr>
        <w:spacing w:after="0" w:line="240" w:lineRule="auto"/>
      </w:pPr>
      <w:r>
        <w:separator/>
      </w:r>
    </w:p>
  </w:footnote>
  <w:footnote w:type="continuationSeparator" w:id="0">
    <w:p w14:paraId="3B1BC2C4" w14:textId="77777777" w:rsidR="00FD3E31" w:rsidRDefault="00FD3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44608220">
    <w:abstractNumId w:val="8"/>
  </w:num>
  <w:num w:numId="2" w16cid:durableId="1010718582">
    <w:abstractNumId w:val="6"/>
  </w:num>
  <w:num w:numId="3" w16cid:durableId="1670522779">
    <w:abstractNumId w:val="5"/>
  </w:num>
  <w:num w:numId="4" w16cid:durableId="1881936790">
    <w:abstractNumId w:val="4"/>
  </w:num>
  <w:num w:numId="5" w16cid:durableId="229078426">
    <w:abstractNumId w:val="7"/>
  </w:num>
  <w:num w:numId="6" w16cid:durableId="1147473225">
    <w:abstractNumId w:val="3"/>
  </w:num>
  <w:num w:numId="7" w16cid:durableId="1135870902">
    <w:abstractNumId w:val="2"/>
  </w:num>
  <w:num w:numId="8" w16cid:durableId="165026025">
    <w:abstractNumId w:val="1"/>
  </w:num>
  <w:num w:numId="9" w16cid:durableId="98389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24D5"/>
    <w:rsid w:val="009C0CE7"/>
    <w:rsid w:val="00A7522E"/>
    <w:rsid w:val="00AA1D8D"/>
    <w:rsid w:val="00B47730"/>
    <w:rsid w:val="00CB0664"/>
    <w:rsid w:val="00FC693F"/>
    <w:rsid w:val="00FD3E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B9A1A"/>
  <w14:defaultImageDpi w14:val="300"/>
  <w15:docId w15:val="{72573208-0CC7-44C7-B69D-BA8581A5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oto Serif CJK SC" w:hAnsi="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Chan</cp:lastModifiedBy>
  <cp:revision>2</cp:revision>
  <dcterms:created xsi:type="dcterms:W3CDTF">2013-12-23T23:15:00Z</dcterms:created>
  <dcterms:modified xsi:type="dcterms:W3CDTF">2026-06-23T05:23:00Z</dcterms:modified>
  <cp:category/>
</cp:coreProperties>
</file>