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23E9" w14:textId="5020ABDA" w:rsidR="00A52E62" w:rsidRDefault="00E868DF" w:rsidP="007A3187">
      <w:pPr>
        <w:pStyle w:val="Title"/>
        <w:spacing w:line="480" w:lineRule="auto"/>
      </w:pPr>
      <w:r>
        <w:t>Literature Review</w:t>
      </w:r>
    </w:p>
    <w:p w14:paraId="046C1C2D" w14:textId="1AFB5ED0" w:rsidR="00463DAA" w:rsidRDefault="00916DA1" w:rsidP="007A3187">
      <w:pPr>
        <w:pStyle w:val="Heading1"/>
        <w:spacing w:line="480" w:lineRule="auto"/>
      </w:pPr>
      <w:r>
        <w:t>Area of Research</w:t>
      </w:r>
    </w:p>
    <w:p w14:paraId="200E2433" w14:textId="7651D0D0" w:rsidR="00072427" w:rsidRPr="00F13BB1" w:rsidRDefault="00916DA1" w:rsidP="007A3187">
      <w:pPr>
        <w:spacing w:line="480" w:lineRule="auto"/>
        <w:rPr>
          <w:sz w:val="24"/>
          <w:szCs w:val="24"/>
        </w:rPr>
      </w:pPr>
      <w:r w:rsidRPr="00F13BB1">
        <w:rPr>
          <w:sz w:val="24"/>
          <w:szCs w:val="24"/>
        </w:rPr>
        <w:t xml:space="preserve">This literature review will </w:t>
      </w:r>
      <w:r w:rsidR="009030F8" w:rsidRPr="00F13BB1">
        <w:rPr>
          <w:sz w:val="24"/>
          <w:szCs w:val="24"/>
        </w:rPr>
        <w:t xml:space="preserve">treat </w:t>
      </w:r>
      <w:r w:rsidRPr="00F13BB1">
        <w:rPr>
          <w:sz w:val="24"/>
          <w:szCs w:val="24"/>
        </w:rPr>
        <w:t>the existing rese</w:t>
      </w:r>
      <w:r w:rsidR="00BA1B7A" w:rsidRPr="00F13BB1">
        <w:rPr>
          <w:sz w:val="24"/>
          <w:szCs w:val="24"/>
        </w:rPr>
        <w:t>arch on</w:t>
      </w:r>
      <w:r w:rsidR="00A33C6C" w:rsidRPr="00F13BB1">
        <w:rPr>
          <w:sz w:val="24"/>
          <w:szCs w:val="24"/>
        </w:rPr>
        <w:t xml:space="preserve"> the influence</w:t>
      </w:r>
      <w:r w:rsidRPr="00F13BB1">
        <w:rPr>
          <w:sz w:val="24"/>
          <w:szCs w:val="24"/>
        </w:rPr>
        <w:t xml:space="preserve"> </w:t>
      </w:r>
      <w:r w:rsidR="00BA1B7A" w:rsidRPr="00F13BB1">
        <w:rPr>
          <w:sz w:val="24"/>
          <w:szCs w:val="24"/>
        </w:rPr>
        <w:t xml:space="preserve">of </w:t>
      </w:r>
      <w:r w:rsidRPr="00F13BB1">
        <w:rPr>
          <w:sz w:val="24"/>
          <w:szCs w:val="24"/>
        </w:rPr>
        <w:t xml:space="preserve">social network </w:t>
      </w:r>
      <w:r w:rsidR="004D372B" w:rsidRPr="00F13BB1">
        <w:rPr>
          <w:sz w:val="24"/>
          <w:szCs w:val="24"/>
        </w:rPr>
        <w:t xml:space="preserve">– here termed “network effects” </w:t>
      </w:r>
      <w:r w:rsidR="00BD7D3B" w:rsidRPr="00F13BB1">
        <w:rPr>
          <w:sz w:val="24"/>
          <w:szCs w:val="24"/>
        </w:rPr>
        <w:t>–</w:t>
      </w:r>
      <w:r w:rsidR="004D372B" w:rsidRPr="00F13BB1">
        <w:rPr>
          <w:sz w:val="24"/>
          <w:szCs w:val="24"/>
        </w:rPr>
        <w:t xml:space="preserve"> </w:t>
      </w:r>
      <w:r w:rsidR="00BA1B7A" w:rsidRPr="00F13BB1">
        <w:rPr>
          <w:sz w:val="24"/>
          <w:szCs w:val="24"/>
        </w:rPr>
        <w:t xml:space="preserve">on </w:t>
      </w:r>
      <w:r w:rsidR="00A33C6C" w:rsidRPr="00F13BB1">
        <w:rPr>
          <w:sz w:val="24"/>
          <w:szCs w:val="24"/>
        </w:rPr>
        <w:t>technology</w:t>
      </w:r>
      <w:r w:rsidR="009A5588" w:rsidRPr="00F13BB1">
        <w:rPr>
          <w:sz w:val="24"/>
          <w:szCs w:val="24"/>
        </w:rPr>
        <w:t xml:space="preserve"> awareness</w:t>
      </w:r>
      <w:r w:rsidR="00567E3B" w:rsidRPr="00F13BB1">
        <w:rPr>
          <w:sz w:val="24"/>
          <w:szCs w:val="24"/>
        </w:rPr>
        <w:t>, knowledge,</w:t>
      </w:r>
      <w:r w:rsidR="009A5588" w:rsidRPr="00F13BB1">
        <w:rPr>
          <w:sz w:val="24"/>
          <w:szCs w:val="24"/>
        </w:rPr>
        <w:t xml:space="preserve"> and </w:t>
      </w:r>
      <w:r w:rsidR="004D372B" w:rsidRPr="00F13BB1">
        <w:rPr>
          <w:sz w:val="24"/>
          <w:szCs w:val="24"/>
        </w:rPr>
        <w:t>uptake</w:t>
      </w:r>
      <w:r w:rsidR="00BA1B7A" w:rsidRPr="00F13BB1">
        <w:rPr>
          <w:sz w:val="24"/>
          <w:szCs w:val="24"/>
        </w:rPr>
        <w:t>, particularly in</w:t>
      </w:r>
      <w:r w:rsidR="004D372B" w:rsidRPr="00F13BB1">
        <w:rPr>
          <w:sz w:val="24"/>
          <w:szCs w:val="24"/>
        </w:rPr>
        <w:t xml:space="preserve"> agricultural settings in</w:t>
      </w:r>
      <w:r w:rsidR="00BA1B7A" w:rsidRPr="00F13BB1">
        <w:rPr>
          <w:sz w:val="24"/>
          <w:szCs w:val="24"/>
        </w:rPr>
        <w:t xml:space="preserve"> developing countries. Drawing on academic peer-reviewed articles, it will focus on</w:t>
      </w:r>
      <w:r w:rsidR="11191406" w:rsidRPr="00F13BB1">
        <w:rPr>
          <w:sz w:val="24"/>
          <w:szCs w:val="24"/>
        </w:rPr>
        <w:t xml:space="preserve"> the evidence o</w:t>
      </w:r>
      <w:r w:rsidR="00730DC2">
        <w:rPr>
          <w:sz w:val="24"/>
          <w:szCs w:val="24"/>
        </w:rPr>
        <w:t>f</w:t>
      </w:r>
      <w:r w:rsidR="11191406" w:rsidRPr="00F13BB1">
        <w:rPr>
          <w:sz w:val="24"/>
          <w:szCs w:val="24"/>
        </w:rPr>
        <w:t xml:space="preserve"> network effects, evaluating the theories, models, and methods underpinning these studies.</w:t>
      </w:r>
      <w:r w:rsidR="00BA1B7A" w:rsidRPr="00F13BB1">
        <w:rPr>
          <w:sz w:val="24"/>
          <w:szCs w:val="24"/>
        </w:rPr>
        <w:t xml:space="preserve"> </w:t>
      </w:r>
    </w:p>
    <w:p w14:paraId="7F99B75E" w14:textId="77777777" w:rsidR="00072427" w:rsidRDefault="00072427" w:rsidP="007A3187">
      <w:pPr>
        <w:spacing w:line="480" w:lineRule="auto"/>
      </w:pPr>
    </w:p>
    <w:p w14:paraId="263A5A6A" w14:textId="6F897F36" w:rsidR="00BA1B7A" w:rsidRDefault="00BA1B7A" w:rsidP="007A3187">
      <w:pPr>
        <w:pStyle w:val="Heading1"/>
        <w:spacing w:line="480" w:lineRule="auto"/>
      </w:pPr>
      <w:r>
        <w:t>Motivation</w:t>
      </w:r>
    </w:p>
    <w:p w14:paraId="261E296E" w14:textId="26D54E6F" w:rsidR="009B470C" w:rsidRPr="00F13BB1" w:rsidRDefault="00072427" w:rsidP="007A3187">
      <w:pPr>
        <w:spacing w:line="480" w:lineRule="auto"/>
        <w:rPr>
          <w:sz w:val="24"/>
          <w:szCs w:val="24"/>
        </w:rPr>
      </w:pPr>
      <w:r w:rsidRPr="00F13BB1">
        <w:rPr>
          <w:sz w:val="24"/>
          <w:szCs w:val="24"/>
        </w:rPr>
        <w:t>The</w:t>
      </w:r>
      <w:r w:rsidR="00C91C78" w:rsidRPr="00F13BB1">
        <w:rPr>
          <w:sz w:val="24"/>
          <w:szCs w:val="24"/>
        </w:rPr>
        <w:t xml:space="preserve"> primary motivation in evaluating this literature is to inform the process of constructing a succinct model to measure the influence of network effects on technology knowledge and uptake </w:t>
      </w:r>
      <w:r w:rsidR="00BA39E0" w:rsidRPr="00F13BB1">
        <w:rPr>
          <w:sz w:val="24"/>
          <w:szCs w:val="24"/>
        </w:rPr>
        <w:t>amongst</w:t>
      </w:r>
      <w:r w:rsidR="00C91C78" w:rsidRPr="00F13BB1">
        <w:rPr>
          <w:sz w:val="24"/>
          <w:szCs w:val="24"/>
        </w:rPr>
        <w:t xml:space="preserve"> </w:t>
      </w:r>
      <w:r w:rsidR="00B10633" w:rsidRPr="00F13BB1">
        <w:rPr>
          <w:sz w:val="24"/>
          <w:szCs w:val="24"/>
        </w:rPr>
        <w:t xml:space="preserve">Kenyan </w:t>
      </w:r>
      <w:r w:rsidR="00C91C78" w:rsidRPr="00F13BB1">
        <w:rPr>
          <w:sz w:val="24"/>
          <w:szCs w:val="24"/>
        </w:rPr>
        <w:t xml:space="preserve">dairy farmers. This will form part of a model, which I will be constructing as part of my dissertation, </w:t>
      </w:r>
      <w:r w:rsidR="009B470C" w:rsidRPr="00F13BB1">
        <w:rPr>
          <w:sz w:val="24"/>
          <w:szCs w:val="24"/>
        </w:rPr>
        <w:t>to measure how the influence of agricultural extension and network effect</w:t>
      </w:r>
      <w:r w:rsidR="48035EEC" w:rsidRPr="00F13BB1">
        <w:rPr>
          <w:sz w:val="24"/>
          <w:szCs w:val="24"/>
        </w:rPr>
        <w:t>s</w:t>
      </w:r>
      <w:r w:rsidR="009B470C" w:rsidRPr="00F13BB1">
        <w:rPr>
          <w:sz w:val="24"/>
          <w:szCs w:val="24"/>
        </w:rPr>
        <w:t xml:space="preserve"> vary with farmer, household, and network traits. </w:t>
      </w:r>
      <w:r w:rsidR="0057256E" w:rsidRPr="00F13BB1">
        <w:rPr>
          <w:sz w:val="24"/>
          <w:szCs w:val="24"/>
        </w:rPr>
        <w:t>This</w:t>
      </w:r>
      <w:r w:rsidR="009B470C" w:rsidRPr="00F13BB1">
        <w:rPr>
          <w:sz w:val="24"/>
          <w:szCs w:val="24"/>
        </w:rPr>
        <w:t xml:space="preserve"> review is therefore essential in ensuring that th</w:t>
      </w:r>
      <w:r w:rsidR="00C41FB7" w:rsidRPr="00F13BB1">
        <w:rPr>
          <w:sz w:val="24"/>
          <w:szCs w:val="24"/>
        </w:rPr>
        <w:t>e</w:t>
      </w:r>
      <w:r w:rsidR="009B470C" w:rsidRPr="00F13BB1">
        <w:rPr>
          <w:sz w:val="24"/>
          <w:szCs w:val="24"/>
        </w:rPr>
        <w:t xml:space="preserve"> model is appropriate to the</w:t>
      </w:r>
      <w:r w:rsidR="00422977" w:rsidRPr="00F13BB1">
        <w:rPr>
          <w:sz w:val="24"/>
          <w:szCs w:val="24"/>
        </w:rPr>
        <w:t xml:space="preserve"> data available, the</w:t>
      </w:r>
      <w:r w:rsidR="009B470C" w:rsidRPr="00F13BB1">
        <w:rPr>
          <w:sz w:val="24"/>
          <w:szCs w:val="24"/>
        </w:rPr>
        <w:t xml:space="preserve"> study’s context</w:t>
      </w:r>
      <w:r w:rsidR="00C41FB7" w:rsidRPr="00F13BB1">
        <w:rPr>
          <w:sz w:val="24"/>
          <w:szCs w:val="24"/>
        </w:rPr>
        <w:t>,</w:t>
      </w:r>
      <w:r w:rsidR="009B470C" w:rsidRPr="00F13BB1">
        <w:rPr>
          <w:sz w:val="24"/>
          <w:szCs w:val="24"/>
        </w:rPr>
        <w:t xml:space="preserve"> and the technologies considered, whilst reflecting the latest knowledge on network effects.</w:t>
      </w:r>
    </w:p>
    <w:p w14:paraId="10060EBA" w14:textId="5DE50B38" w:rsidR="0035121A" w:rsidRPr="00F13BB1" w:rsidRDefault="009B470C" w:rsidP="007A3187">
      <w:pPr>
        <w:spacing w:line="480" w:lineRule="auto"/>
        <w:rPr>
          <w:sz w:val="24"/>
          <w:szCs w:val="24"/>
        </w:rPr>
      </w:pPr>
      <w:r w:rsidRPr="00F13BB1">
        <w:rPr>
          <w:sz w:val="24"/>
          <w:szCs w:val="24"/>
        </w:rPr>
        <w:t>Furthermore, reliance on</w:t>
      </w:r>
      <w:r w:rsidR="0092663B" w:rsidRPr="00F13BB1">
        <w:rPr>
          <w:sz w:val="24"/>
          <w:szCs w:val="24"/>
        </w:rPr>
        <w:t xml:space="preserve"> social</w:t>
      </w:r>
      <w:r w:rsidRPr="00F13BB1">
        <w:rPr>
          <w:sz w:val="24"/>
          <w:szCs w:val="24"/>
        </w:rPr>
        <w:t xml:space="preserve"> network</w:t>
      </w:r>
      <w:r w:rsidR="00924411" w:rsidRPr="00F13BB1">
        <w:rPr>
          <w:sz w:val="24"/>
          <w:szCs w:val="24"/>
        </w:rPr>
        <w:t xml:space="preserve">s </w:t>
      </w:r>
      <w:r w:rsidRPr="00F13BB1">
        <w:rPr>
          <w:sz w:val="24"/>
          <w:szCs w:val="24"/>
        </w:rPr>
        <w:t>for agricultural extension is increasing</w:t>
      </w:r>
      <w:r w:rsidR="4CE362FC" w:rsidRPr="00F13BB1">
        <w:rPr>
          <w:sz w:val="24"/>
          <w:szCs w:val="24"/>
        </w:rPr>
        <w:t xml:space="preserve"> </w:t>
      </w:r>
      <w:r w:rsidRPr="00F13BB1">
        <w:rPr>
          <w:sz w:val="24"/>
          <w:szCs w:val="24"/>
        </w:rPr>
        <w:t xml:space="preserve">due to questions surrounding the cost-effectiveness of direct extension and </w:t>
      </w:r>
      <w:r w:rsidR="00421366" w:rsidRPr="00F13BB1">
        <w:rPr>
          <w:sz w:val="24"/>
          <w:szCs w:val="24"/>
        </w:rPr>
        <w:t>a</w:t>
      </w:r>
      <w:r w:rsidRPr="00F13BB1">
        <w:rPr>
          <w:sz w:val="24"/>
          <w:szCs w:val="24"/>
        </w:rPr>
        <w:t xml:space="preserve"> </w:t>
      </w:r>
      <w:r w:rsidR="00562349" w:rsidRPr="00F13BB1">
        <w:rPr>
          <w:sz w:val="24"/>
          <w:szCs w:val="24"/>
        </w:rPr>
        <w:t xml:space="preserve">shift towards </w:t>
      </w:r>
      <w:r w:rsidR="00562349" w:rsidRPr="00F13BB1">
        <w:rPr>
          <w:sz w:val="24"/>
          <w:szCs w:val="24"/>
        </w:rPr>
        <w:lastRenderedPageBreak/>
        <w:t>more collaborative,</w:t>
      </w:r>
      <w:r w:rsidR="23185602" w:rsidRPr="00F13BB1">
        <w:rPr>
          <w:sz w:val="24"/>
          <w:szCs w:val="24"/>
        </w:rPr>
        <w:t xml:space="preserve"> </w:t>
      </w:r>
      <w:r w:rsidR="00134FEB" w:rsidRPr="00F13BB1">
        <w:rPr>
          <w:sz w:val="24"/>
          <w:szCs w:val="24"/>
        </w:rPr>
        <w:t>bottom-up extension models</w:t>
      </w:r>
      <w:r w:rsidR="00E13F8D" w:rsidRPr="00F13BB1">
        <w:rPr>
          <w:sz w:val="24"/>
          <w:szCs w:val="24"/>
        </w:rPr>
        <w:t>,</w:t>
      </w:r>
      <w:r w:rsidR="00421366" w:rsidRPr="00F13BB1">
        <w:rPr>
          <w:sz w:val="24"/>
          <w:szCs w:val="24"/>
        </w:rPr>
        <w:t xml:space="preserve"> such as</w:t>
      </w:r>
      <w:r w:rsidRPr="00F13BB1">
        <w:rPr>
          <w:sz w:val="24"/>
          <w:szCs w:val="24"/>
        </w:rPr>
        <w:t xml:space="preserve"> farmer-to-farmer </w:t>
      </w:r>
      <w:r w:rsidR="00F05A18" w:rsidRPr="00F13BB1">
        <w:rPr>
          <w:sz w:val="24"/>
          <w:szCs w:val="24"/>
        </w:rPr>
        <w:t>extension</w:t>
      </w:r>
      <w:r w:rsidR="006A0BA2" w:rsidRPr="00F13BB1">
        <w:rPr>
          <w:rStyle w:val="FootnoteReference"/>
          <w:sz w:val="24"/>
          <w:szCs w:val="24"/>
        </w:rPr>
        <w:footnoteReference w:id="1"/>
      </w:r>
      <w:r w:rsidRPr="00F13BB1">
        <w:rPr>
          <w:sz w:val="24"/>
          <w:szCs w:val="24"/>
        </w:rPr>
        <w:t xml:space="preserve">. Therefore, a review of latest knowledge on </w:t>
      </w:r>
      <w:r w:rsidR="00356D81" w:rsidRPr="00F13BB1">
        <w:rPr>
          <w:sz w:val="24"/>
          <w:szCs w:val="24"/>
        </w:rPr>
        <w:t xml:space="preserve">network </w:t>
      </w:r>
      <w:r w:rsidRPr="00F13BB1">
        <w:rPr>
          <w:sz w:val="24"/>
          <w:szCs w:val="24"/>
        </w:rPr>
        <w:t>effects</w:t>
      </w:r>
      <w:r w:rsidR="009F4507" w:rsidRPr="00F13BB1">
        <w:rPr>
          <w:sz w:val="24"/>
          <w:szCs w:val="24"/>
        </w:rPr>
        <w:t xml:space="preserve"> serves to </w:t>
      </w:r>
      <w:r w:rsidRPr="00F13BB1">
        <w:rPr>
          <w:sz w:val="24"/>
          <w:szCs w:val="24"/>
        </w:rPr>
        <w:t>i</w:t>
      </w:r>
      <w:r w:rsidR="009F4507" w:rsidRPr="00F13BB1">
        <w:rPr>
          <w:sz w:val="24"/>
          <w:szCs w:val="24"/>
        </w:rPr>
        <w:t>n</w:t>
      </w:r>
      <w:r w:rsidRPr="00F13BB1">
        <w:rPr>
          <w:sz w:val="24"/>
          <w:szCs w:val="24"/>
        </w:rPr>
        <w:t>for</w:t>
      </w:r>
      <w:r w:rsidR="009F4507" w:rsidRPr="00F13BB1">
        <w:rPr>
          <w:sz w:val="24"/>
          <w:szCs w:val="24"/>
        </w:rPr>
        <w:t>m</w:t>
      </w:r>
      <w:r w:rsidRPr="00F13BB1">
        <w:rPr>
          <w:sz w:val="24"/>
          <w:szCs w:val="24"/>
        </w:rPr>
        <w:t xml:space="preserve"> policy </w:t>
      </w:r>
      <w:r w:rsidR="00422977" w:rsidRPr="00F13BB1">
        <w:rPr>
          <w:sz w:val="24"/>
          <w:szCs w:val="24"/>
        </w:rPr>
        <w:t xml:space="preserve">and </w:t>
      </w:r>
      <w:r w:rsidR="009643A6" w:rsidRPr="00F13BB1">
        <w:rPr>
          <w:sz w:val="24"/>
          <w:szCs w:val="24"/>
        </w:rPr>
        <w:t>academia</w:t>
      </w:r>
      <w:r w:rsidR="00422977" w:rsidRPr="00F13BB1">
        <w:rPr>
          <w:sz w:val="24"/>
          <w:szCs w:val="24"/>
        </w:rPr>
        <w:t xml:space="preserve"> </w:t>
      </w:r>
      <w:r w:rsidR="00E244FD" w:rsidRPr="00F13BB1">
        <w:rPr>
          <w:sz w:val="24"/>
          <w:szCs w:val="24"/>
        </w:rPr>
        <w:t xml:space="preserve">on </w:t>
      </w:r>
      <w:r w:rsidR="00A32DE8" w:rsidRPr="00F13BB1">
        <w:rPr>
          <w:sz w:val="24"/>
          <w:szCs w:val="24"/>
        </w:rPr>
        <w:t>m</w:t>
      </w:r>
      <w:r w:rsidR="00E13F8D" w:rsidRPr="00F13BB1">
        <w:rPr>
          <w:sz w:val="24"/>
          <w:szCs w:val="24"/>
        </w:rPr>
        <w:t>atters</w:t>
      </w:r>
      <w:r w:rsidR="000C3411" w:rsidRPr="00F13BB1">
        <w:rPr>
          <w:sz w:val="24"/>
          <w:szCs w:val="24"/>
        </w:rPr>
        <w:t xml:space="preserve"> to consider to </w:t>
      </w:r>
      <w:r w:rsidR="00422977" w:rsidRPr="00F13BB1">
        <w:rPr>
          <w:sz w:val="24"/>
          <w:szCs w:val="24"/>
        </w:rPr>
        <w:t>improve the</w:t>
      </w:r>
      <w:r w:rsidR="000C3411" w:rsidRPr="00F13BB1">
        <w:rPr>
          <w:sz w:val="24"/>
          <w:szCs w:val="24"/>
        </w:rPr>
        <w:t xml:space="preserve"> efficiency and equity</w:t>
      </w:r>
      <w:r w:rsidR="00422977" w:rsidRPr="00F13BB1">
        <w:rPr>
          <w:sz w:val="24"/>
          <w:szCs w:val="24"/>
        </w:rPr>
        <w:t xml:space="preserve"> of agricultural extension</w:t>
      </w:r>
      <w:r w:rsidR="6D90F063" w:rsidRPr="00F13BB1">
        <w:rPr>
          <w:sz w:val="24"/>
          <w:szCs w:val="24"/>
        </w:rPr>
        <w:t xml:space="preserve"> systems</w:t>
      </w:r>
      <w:r w:rsidR="000C3411" w:rsidRPr="00F13BB1">
        <w:rPr>
          <w:sz w:val="24"/>
          <w:szCs w:val="24"/>
        </w:rPr>
        <w:t>.</w:t>
      </w:r>
    </w:p>
    <w:p w14:paraId="37A8594C" w14:textId="70D7EE13" w:rsidR="009A7ACD" w:rsidRPr="00F13BB1" w:rsidRDefault="009A7ACD" w:rsidP="007A3187">
      <w:pPr>
        <w:spacing w:line="480" w:lineRule="auto"/>
        <w:rPr>
          <w:sz w:val="24"/>
          <w:szCs w:val="24"/>
        </w:rPr>
      </w:pPr>
      <w:r w:rsidRPr="00F13BB1">
        <w:rPr>
          <w:sz w:val="24"/>
          <w:szCs w:val="24"/>
        </w:rPr>
        <w:t>Papers were</w:t>
      </w:r>
      <w:r w:rsidR="00F60F2A" w:rsidRPr="00F13BB1">
        <w:rPr>
          <w:sz w:val="24"/>
          <w:szCs w:val="24"/>
        </w:rPr>
        <w:t xml:space="preserve"> collected using a keyword search </w:t>
      </w:r>
      <w:r w:rsidR="00B55148" w:rsidRPr="00F13BB1">
        <w:rPr>
          <w:sz w:val="24"/>
          <w:szCs w:val="24"/>
        </w:rPr>
        <w:t xml:space="preserve">on </w:t>
      </w:r>
      <w:r w:rsidR="00B55148" w:rsidRPr="00F13BB1">
        <w:rPr>
          <w:i/>
          <w:iCs/>
          <w:sz w:val="24"/>
          <w:szCs w:val="24"/>
        </w:rPr>
        <w:t>Web of Science</w:t>
      </w:r>
      <w:r w:rsidR="00B55148" w:rsidRPr="00F13BB1">
        <w:rPr>
          <w:sz w:val="24"/>
          <w:szCs w:val="24"/>
        </w:rPr>
        <w:t xml:space="preserve"> followed by title and abstract scanning </w:t>
      </w:r>
      <w:r w:rsidR="00A32DE8" w:rsidRPr="00F13BB1">
        <w:rPr>
          <w:sz w:val="24"/>
          <w:szCs w:val="24"/>
        </w:rPr>
        <w:t>using</w:t>
      </w:r>
      <w:r w:rsidR="00B55148" w:rsidRPr="00F13BB1">
        <w:rPr>
          <w:sz w:val="24"/>
          <w:szCs w:val="24"/>
        </w:rPr>
        <w:t xml:space="preserve"> </w:t>
      </w:r>
      <w:r w:rsidR="00B55148" w:rsidRPr="00F13BB1">
        <w:rPr>
          <w:i/>
          <w:iCs/>
          <w:sz w:val="24"/>
          <w:szCs w:val="24"/>
        </w:rPr>
        <w:t>Covidence</w:t>
      </w:r>
      <w:r w:rsidR="002F682F" w:rsidRPr="00F13BB1">
        <w:rPr>
          <w:sz w:val="24"/>
          <w:szCs w:val="24"/>
        </w:rPr>
        <w:t xml:space="preserve">, </w:t>
      </w:r>
      <w:r w:rsidR="009D54D6" w:rsidRPr="00F13BB1">
        <w:rPr>
          <w:sz w:val="24"/>
          <w:szCs w:val="24"/>
        </w:rPr>
        <w:t>as well as snowballing</w:t>
      </w:r>
      <w:r w:rsidR="0060566C" w:rsidRPr="00F13BB1">
        <w:rPr>
          <w:sz w:val="24"/>
          <w:szCs w:val="24"/>
        </w:rPr>
        <w:t xml:space="preserve"> from key resources</w:t>
      </w:r>
      <w:r w:rsidR="009D54D6" w:rsidRPr="00F13BB1">
        <w:rPr>
          <w:sz w:val="24"/>
          <w:szCs w:val="24"/>
        </w:rPr>
        <w:t xml:space="preserve">. </w:t>
      </w:r>
      <w:r w:rsidR="00EB6100" w:rsidRPr="00F13BB1">
        <w:rPr>
          <w:sz w:val="24"/>
          <w:szCs w:val="24"/>
        </w:rPr>
        <w:t>Papers most relevant to developing agricultural contexts were selected.</w:t>
      </w:r>
      <w:r w:rsidR="0060566C" w:rsidRPr="00F13BB1">
        <w:rPr>
          <w:sz w:val="24"/>
          <w:szCs w:val="24"/>
        </w:rPr>
        <w:t xml:space="preserve"> </w:t>
      </w:r>
    </w:p>
    <w:p w14:paraId="5C6FA6B6" w14:textId="77777777" w:rsidR="00D35314" w:rsidRPr="00F13BB1" w:rsidRDefault="00D35314" w:rsidP="007A3187">
      <w:pPr>
        <w:spacing w:line="480" w:lineRule="auto"/>
        <w:rPr>
          <w:sz w:val="24"/>
          <w:szCs w:val="24"/>
        </w:rPr>
      </w:pPr>
    </w:p>
    <w:p w14:paraId="1C9C36EF" w14:textId="242225D6" w:rsidR="00916DA1" w:rsidRDefault="00D35314" w:rsidP="007A3187">
      <w:pPr>
        <w:pStyle w:val="Heading1"/>
        <w:spacing w:line="480" w:lineRule="auto"/>
      </w:pPr>
      <w:r>
        <w:t>Summary on Area of Research</w:t>
      </w:r>
      <w:r w:rsidR="009B470C">
        <w:t xml:space="preserve"> </w:t>
      </w:r>
    </w:p>
    <w:p w14:paraId="410B594E" w14:textId="4B11DC54" w:rsidR="009030F8" w:rsidRPr="00F13BB1" w:rsidRDefault="004146F5" w:rsidP="007A3187">
      <w:pPr>
        <w:spacing w:line="480" w:lineRule="auto"/>
        <w:rPr>
          <w:sz w:val="24"/>
          <w:szCs w:val="24"/>
        </w:rPr>
      </w:pPr>
      <w:r w:rsidRPr="00F13BB1">
        <w:rPr>
          <w:sz w:val="24"/>
          <w:szCs w:val="24"/>
        </w:rPr>
        <w:t>Since</w:t>
      </w:r>
      <w:r w:rsidR="00550CDD" w:rsidRPr="00F13BB1">
        <w:rPr>
          <w:sz w:val="24"/>
          <w:szCs w:val="24"/>
        </w:rPr>
        <w:t xml:space="preserve"> </w:t>
      </w:r>
      <w:r w:rsidRPr="00F13BB1">
        <w:rPr>
          <w:sz w:val="24"/>
          <w:szCs w:val="24"/>
        </w:rPr>
        <w:fldChar w:fldCharType="begin"/>
      </w:r>
      <w:r w:rsidR="00107127" w:rsidRPr="00F13BB1">
        <w:rPr>
          <w:sz w:val="24"/>
          <w:szCs w:val="24"/>
        </w:rPr>
        <w:instrText xml:space="preserve"> ADDIN ZOTERO_ITEM CSL_CITATION {"citationID":"aV5EqxXr","properties":{"formattedCitation":"(Maertens and Barrett, 2013)","plainCitation":"(Maertens and Barrett, 2013)","dontUpdate":true,"noteIndex":0},"citationItems":[{"id":2048,"uris":["http://zotero.org/users/7916616/items/BCDSL5FR"],"itemData":{"id":2048,"type":"article-journal","container-title":"American Journal of Agricultural Economics","DOI":"10.1093/ajae/aas049","ISSN":"1467-8276","issue":"2","language":"en","note":"_eprint: https://onlinelibrary.wiley.com/doi/pdf/10.1093/ajae/aas049","page":"353-359","source":"Wiley Online Library","title":"Measuring Social Networks' Effects on Agricultural Technology Adoption","URL":"https://onlinelibrary.wiley.com/doi/abs/10.1093/ajae/aas049","volume":"95","author":[{"family":"Maertens","given":"Annemie"},{"family":"Barrett","given":"Christopher B."}],"accessed":{"date-parts":[["2022",10,26]]},"issued":{"date-parts":[["2013"]]}}}],"schema":"https://github.com/citation-style-language/schema/raw/master/csl-citation.json"} </w:instrText>
      </w:r>
      <w:r w:rsidRPr="00F13BB1">
        <w:rPr>
          <w:sz w:val="24"/>
          <w:szCs w:val="24"/>
        </w:rPr>
        <w:fldChar w:fldCharType="separate"/>
      </w:r>
      <w:r w:rsidRPr="00F13BB1">
        <w:rPr>
          <w:rFonts w:ascii="Calibri" w:hAnsi="Calibri" w:cs="Calibri"/>
          <w:sz w:val="24"/>
          <w:szCs w:val="24"/>
        </w:rPr>
        <w:t>Maertens and Barrett</w:t>
      </w:r>
      <w:r w:rsidR="00550CDD" w:rsidRPr="00F13BB1">
        <w:rPr>
          <w:rFonts w:ascii="Calibri" w:hAnsi="Calibri" w:cs="Calibri"/>
          <w:sz w:val="24"/>
          <w:szCs w:val="24"/>
        </w:rPr>
        <w:t>'s</w:t>
      </w:r>
      <w:r w:rsidRPr="00F13BB1">
        <w:rPr>
          <w:rFonts w:ascii="Calibri" w:hAnsi="Calibri" w:cs="Calibri"/>
          <w:sz w:val="24"/>
          <w:szCs w:val="24"/>
        </w:rPr>
        <w:t xml:space="preserve"> 2013</w:t>
      </w:r>
      <w:r w:rsidRPr="00F13BB1">
        <w:rPr>
          <w:sz w:val="24"/>
          <w:szCs w:val="24"/>
        </w:rPr>
        <w:fldChar w:fldCharType="end"/>
      </w:r>
      <w:r w:rsidR="00A11243" w:rsidRPr="00F13BB1">
        <w:rPr>
          <w:sz w:val="24"/>
          <w:szCs w:val="24"/>
        </w:rPr>
        <w:t xml:space="preserve"> review</w:t>
      </w:r>
      <w:r w:rsidR="00550CDD" w:rsidRPr="00F13BB1">
        <w:rPr>
          <w:sz w:val="24"/>
          <w:szCs w:val="24"/>
        </w:rPr>
        <w:t>, which lament</w:t>
      </w:r>
      <w:r w:rsidR="00B7663B" w:rsidRPr="00F13BB1">
        <w:rPr>
          <w:sz w:val="24"/>
          <w:szCs w:val="24"/>
        </w:rPr>
        <w:t>s</w:t>
      </w:r>
      <w:r w:rsidR="00550CDD" w:rsidRPr="00F13BB1">
        <w:rPr>
          <w:sz w:val="24"/>
          <w:szCs w:val="24"/>
        </w:rPr>
        <w:t xml:space="preserve"> </w:t>
      </w:r>
      <w:r w:rsidR="006C226A" w:rsidRPr="00F13BB1">
        <w:rPr>
          <w:sz w:val="24"/>
          <w:szCs w:val="24"/>
        </w:rPr>
        <w:t>the “distinctly underdeveloped</w:t>
      </w:r>
      <w:r w:rsidR="00AC4057" w:rsidRPr="00F13BB1">
        <w:rPr>
          <w:sz w:val="24"/>
          <w:szCs w:val="24"/>
        </w:rPr>
        <w:t xml:space="preserve">” literature on the subject, </w:t>
      </w:r>
      <w:r w:rsidR="00A4342E" w:rsidRPr="00F13BB1">
        <w:rPr>
          <w:sz w:val="24"/>
          <w:szCs w:val="24"/>
        </w:rPr>
        <w:t xml:space="preserve">there has been a proliferation in </w:t>
      </w:r>
      <w:r w:rsidR="006B35D7" w:rsidRPr="00F13BB1">
        <w:rPr>
          <w:sz w:val="24"/>
          <w:szCs w:val="24"/>
        </w:rPr>
        <w:t xml:space="preserve">studies looking at </w:t>
      </w:r>
      <w:r w:rsidR="00A4342E" w:rsidRPr="00F13BB1">
        <w:rPr>
          <w:sz w:val="24"/>
          <w:szCs w:val="24"/>
        </w:rPr>
        <w:t xml:space="preserve">social network effects on </w:t>
      </w:r>
      <w:r w:rsidR="00260824" w:rsidRPr="00F13BB1">
        <w:rPr>
          <w:sz w:val="24"/>
          <w:szCs w:val="24"/>
        </w:rPr>
        <w:t xml:space="preserve">the </w:t>
      </w:r>
      <w:r w:rsidR="003E04F4" w:rsidRPr="00F13BB1">
        <w:rPr>
          <w:sz w:val="24"/>
          <w:szCs w:val="24"/>
        </w:rPr>
        <w:t>spread</w:t>
      </w:r>
      <w:r w:rsidR="00260824" w:rsidRPr="00F13BB1">
        <w:rPr>
          <w:sz w:val="24"/>
          <w:szCs w:val="24"/>
        </w:rPr>
        <w:t xml:space="preserve"> of </w:t>
      </w:r>
      <w:r w:rsidR="0054720A" w:rsidRPr="00F13BB1">
        <w:rPr>
          <w:sz w:val="24"/>
          <w:szCs w:val="24"/>
        </w:rPr>
        <w:t>knowledge and technology, particularly (but not exclusively</w:t>
      </w:r>
      <w:r w:rsidR="0054720A" w:rsidRPr="00F13BB1">
        <w:rPr>
          <w:rStyle w:val="FootnoteReference"/>
          <w:sz w:val="24"/>
          <w:szCs w:val="24"/>
        </w:rPr>
        <w:footnoteReference w:id="2"/>
      </w:r>
      <w:r w:rsidR="0054720A" w:rsidRPr="00F13BB1">
        <w:rPr>
          <w:sz w:val="24"/>
          <w:szCs w:val="24"/>
        </w:rPr>
        <w:t>)</w:t>
      </w:r>
      <w:r w:rsidR="00A11243" w:rsidRPr="00F13BB1">
        <w:rPr>
          <w:sz w:val="24"/>
          <w:szCs w:val="24"/>
        </w:rPr>
        <w:t xml:space="preserve"> in </w:t>
      </w:r>
      <w:r w:rsidR="6095750A" w:rsidRPr="00F13BB1">
        <w:rPr>
          <w:sz w:val="24"/>
          <w:szCs w:val="24"/>
        </w:rPr>
        <w:t xml:space="preserve">agricultural settings in </w:t>
      </w:r>
      <w:r w:rsidR="00A11243" w:rsidRPr="00F13BB1">
        <w:rPr>
          <w:sz w:val="24"/>
          <w:szCs w:val="24"/>
        </w:rPr>
        <w:t>developing countr</w:t>
      </w:r>
      <w:r w:rsidR="003158A0" w:rsidRPr="00F13BB1">
        <w:rPr>
          <w:sz w:val="24"/>
          <w:szCs w:val="24"/>
        </w:rPr>
        <w:t>ies</w:t>
      </w:r>
      <w:r w:rsidR="00A11243" w:rsidRPr="00F13BB1">
        <w:rPr>
          <w:sz w:val="24"/>
          <w:szCs w:val="24"/>
        </w:rPr>
        <w:t xml:space="preserve">. </w:t>
      </w:r>
      <w:r w:rsidR="00954C71" w:rsidRPr="00F13BB1">
        <w:rPr>
          <w:sz w:val="24"/>
          <w:szCs w:val="24"/>
        </w:rPr>
        <w:t xml:space="preserve">Much of this literature has studied </w:t>
      </w:r>
      <w:r w:rsidR="00601F23" w:rsidRPr="00F13BB1">
        <w:rPr>
          <w:sz w:val="24"/>
          <w:szCs w:val="24"/>
        </w:rPr>
        <w:t xml:space="preserve">network effects in relation </w:t>
      </w:r>
      <w:r w:rsidR="00C75083" w:rsidRPr="00F13BB1">
        <w:rPr>
          <w:sz w:val="24"/>
          <w:szCs w:val="24"/>
        </w:rPr>
        <w:t>to the issue of identifying lead</w:t>
      </w:r>
      <w:r w:rsidR="00E81784" w:rsidRPr="00F13BB1">
        <w:rPr>
          <w:sz w:val="24"/>
          <w:szCs w:val="24"/>
        </w:rPr>
        <w:t>-f</w:t>
      </w:r>
      <w:r w:rsidR="00C75083" w:rsidRPr="00F13BB1">
        <w:rPr>
          <w:sz w:val="24"/>
          <w:szCs w:val="24"/>
        </w:rPr>
        <w:t>armers</w:t>
      </w:r>
      <w:r w:rsidR="009440DD" w:rsidRPr="00F13BB1">
        <w:rPr>
          <w:rStyle w:val="FootnoteReference"/>
          <w:sz w:val="24"/>
          <w:szCs w:val="24"/>
        </w:rPr>
        <w:footnoteReference w:id="3"/>
      </w:r>
      <w:r w:rsidR="00C75083" w:rsidRPr="00F13BB1">
        <w:rPr>
          <w:sz w:val="24"/>
          <w:szCs w:val="24"/>
        </w:rPr>
        <w:t xml:space="preserve"> in farmer-to-farmer </w:t>
      </w:r>
      <w:r w:rsidR="00444DEC" w:rsidRPr="00F13BB1">
        <w:rPr>
          <w:sz w:val="24"/>
          <w:szCs w:val="24"/>
        </w:rPr>
        <w:t xml:space="preserve">extension </w:t>
      </w:r>
      <w:r w:rsidR="00C75083" w:rsidRPr="00F13BB1">
        <w:rPr>
          <w:sz w:val="24"/>
          <w:szCs w:val="24"/>
        </w:rPr>
        <w:t>systems</w:t>
      </w:r>
      <w:r w:rsidR="00107127" w:rsidRPr="00F13BB1">
        <w:rPr>
          <w:sz w:val="24"/>
          <w:szCs w:val="24"/>
        </w:rPr>
        <w:t xml:space="preserve"> </w:t>
      </w:r>
      <w:r w:rsidR="00107127" w:rsidRPr="00F13BB1">
        <w:rPr>
          <w:sz w:val="24"/>
          <w:szCs w:val="24"/>
        </w:rPr>
        <w:fldChar w:fldCharType="begin"/>
      </w:r>
      <w:r w:rsidR="00107127" w:rsidRPr="00F13BB1">
        <w:rPr>
          <w:sz w:val="24"/>
          <w:szCs w:val="24"/>
        </w:rPr>
        <w:instrText xml:space="preserve"> ADDIN ZOTERO_ITEM CSL_CITATION {"citationID":"LHuPN4bW","properties":{"formattedCitation":"(Takahashi, Muraoka and Otsuka, 2020, pp. 37\\uc0\\u8211{}39)","plainCitation":"(Takahashi, Muraoka and Otsuka, 2020, pp. 37–39)","noteIndex":0},"citationItems":[{"id":1479,"uris":["http://zotero.org/users/7916616/items/I42GKV7D"],"itemData":{"id":1479,"type":"article-journal","abstract":"Given the stagnant agricultural productivity and persistent food insecurity in low-income countries—notably in sub-Saharan Africa (SSA)—there has been continued interest in the adoption of new technology and its impact on productivity in these regions. To increase crop yields and sustain yield gains, recent case studies of technology adoption unanimously recommend the adoption of integrated farm management systems, particularly in SSA. On the other hand, there have been increasing numbers of studies on social network or farmer-to-farmer technology extension. These studies explore more efficient extension systems than traditional public-sector extension approaches. This article reviews both recent case studies of technology adoption and its productivity impacts as well as studies on agricultural extension to identify common findings, shortcomings, and major remaining issues.","container-title":"Agricultural Economics","DOI":"10.1111/agec.12539","ISSN":"1574-0862","issue":"1","language":"en","note":"_eprint: https://onlinelibrary.wiley.com/doi/pdf/10.1111/agec.12539","page":"31-45","source":"Wiley Online Library","title":"Technology adoption, impact, and extension in developing countries’ agriculture: A review of the recent literature","title-short":"Technology adoption, impact, and extension in developing countries’ agriculture","URL":"https://onlinelibrary.wiley.com/doi/abs/10.1111/agec.12539","volume":"51","author":[{"family":"Takahashi","given":"Kazushi"},{"family":"Muraoka","given":"Rie"},{"family":"Otsuka","given":"Keijiro"}],"accessed":{"date-parts":[["2022",10,20]]},"issued":{"date-parts":[["2020"]]}},"locator":"37-39"}],"schema":"https://github.com/citation-style-language/schema/raw/master/csl-citation.json"} </w:instrText>
      </w:r>
      <w:r w:rsidR="00107127" w:rsidRPr="00F13BB1">
        <w:rPr>
          <w:sz w:val="24"/>
          <w:szCs w:val="24"/>
        </w:rPr>
        <w:fldChar w:fldCharType="separate"/>
      </w:r>
      <w:r w:rsidR="00107127" w:rsidRPr="00F13BB1">
        <w:rPr>
          <w:rFonts w:ascii="Calibri" w:hAnsi="Calibri" w:cs="Calibri"/>
          <w:sz w:val="24"/>
          <w:szCs w:val="24"/>
        </w:rPr>
        <w:t>(Takahashi, Muraoka and Otsuka, 2020, pp.37–39)</w:t>
      </w:r>
      <w:r w:rsidR="00107127" w:rsidRPr="00F13BB1">
        <w:rPr>
          <w:sz w:val="24"/>
          <w:szCs w:val="24"/>
        </w:rPr>
        <w:fldChar w:fldCharType="end"/>
      </w:r>
      <w:r w:rsidR="000F3C83" w:rsidRPr="00F13BB1">
        <w:rPr>
          <w:sz w:val="24"/>
          <w:szCs w:val="24"/>
        </w:rPr>
        <w:t>.</w:t>
      </w:r>
      <w:r w:rsidR="003C6ABE" w:rsidRPr="00F13BB1">
        <w:rPr>
          <w:sz w:val="24"/>
          <w:szCs w:val="24"/>
        </w:rPr>
        <w:t xml:space="preserve"> </w:t>
      </w:r>
    </w:p>
    <w:p w14:paraId="083D2E56" w14:textId="1827F84F" w:rsidR="006A0E29" w:rsidRPr="00F13BB1" w:rsidRDefault="00E43A45" w:rsidP="007A3187">
      <w:pPr>
        <w:spacing w:line="480" w:lineRule="auto"/>
        <w:rPr>
          <w:sz w:val="24"/>
          <w:szCs w:val="24"/>
        </w:rPr>
      </w:pPr>
      <w:r w:rsidRPr="00F13BB1">
        <w:rPr>
          <w:sz w:val="24"/>
          <w:szCs w:val="24"/>
        </w:rPr>
        <w:t>Many studies u</w:t>
      </w:r>
      <w:r w:rsidR="1DC1E030" w:rsidRPr="00F13BB1">
        <w:rPr>
          <w:sz w:val="24"/>
          <w:szCs w:val="24"/>
        </w:rPr>
        <w:t>tilise</w:t>
      </w:r>
      <w:r w:rsidRPr="00F13BB1">
        <w:rPr>
          <w:sz w:val="24"/>
          <w:szCs w:val="24"/>
        </w:rPr>
        <w:t xml:space="preserve"> </w:t>
      </w:r>
      <w:r w:rsidR="7D1452C8" w:rsidRPr="00F13BB1">
        <w:rPr>
          <w:sz w:val="24"/>
          <w:szCs w:val="24"/>
        </w:rPr>
        <w:t xml:space="preserve">social </w:t>
      </w:r>
      <w:r w:rsidRPr="00F13BB1">
        <w:rPr>
          <w:sz w:val="24"/>
          <w:szCs w:val="24"/>
        </w:rPr>
        <w:t xml:space="preserve">network data </w:t>
      </w:r>
      <w:r w:rsidR="00305B25" w:rsidRPr="00F13BB1">
        <w:rPr>
          <w:sz w:val="24"/>
          <w:szCs w:val="24"/>
        </w:rPr>
        <w:t>and subsequent social network analysis</w:t>
      </w:r>
      <w:r w:rsidR="005057E9" w:rsidRPr="00F13BB1">
        <w:rPr>
          <w:rStyle w:val="FootnoteReference"/>
          <w:sz w:val="24"/>
          <w:szCs w:val="24"/>
        </w:rPr>
        <w:footnoteReference w:id="4"/>
      </w:r>
      <w:r w:rsidR="00305B25" w:rsidRPr="00F13BB1">
        <w:rPr>
          <w:sz w:val="24"/>
          <w:szCs w:val="24"/>
        </w:rPr>
        <w:t xml:space="preserve"> as part of their methodology. </w:t>
      </w:r>
      <w:r w:rsidR="00D10E09" w:rsidRPr="00F13BB1">
        <w:rPr>
          <w:sz w:val="24"/>
          <w:szCs w:val="24"/>
        </w:rPr>
        <w:t>Almost without exception</w:t>
      </w:r>
      <w:r w:rsidR="00305B25" w:rsidRPr="00F13BB1">
        <w:rPr>
          <w:sz w:val="24"/>
          <w:szCs w:val="24"/>
        </w:rPr>
        <w:t xml:space="preserve"> too is </w:t>
      </w:r>
      <w:r w:rsidR="00E12048" w:rsidRPr="00F13BB1">
        <w:rPr>
          <w:sz w:val="24"/>
          <w:szCs w:val="24"/>
        </w:rPr>
        <w:t xml:space="preserve">reference to the seminal work by </w:t>
      </w:r>
      <w:r w:rsidR="00827BFE" w:rsidRPr="00F13BB1">
        <w:rPr>
          <w:sz w:val="24"/>
          <w:szCs w:val="24"/>
        </w:rPr>
        <w:fldChar w:fldCharType="begin"/>
      </w:r>
      <w:r w:rsidR="00827BFE" w:rsidRPr="00F13BB1">
        <w:rPr>
          <w:sz w:val="24"/>
          <w:szCs w:val="24"/>
        </w:rPr>
        <w:instrText xml:space="preserve"> ADDIN ZOTERO_ITEM CSL_CITATION {"citationID":"Qhkga4Yg","properties":{"formattedCitation":"(Manski, 1993)","plainCitation":"(Manski, 1993)","noteIndex":0},"citationItems":[{"id":2161,"uris":["http://zotero.org/users/7916616/items/PB9SRBWH"],"itemData":{"id":2161,"type":"article-journal","abstract":"This paper examines the reflection problem that arises when a researcher observing the distribution of behaviour in a population tries to infer whether the average behaviour in some group influences the behaviour of the individuals that comprise the group. It is found that inference is not possible unless the researcher has prior information specifying the compisition of reference groups. If this information is available, the prospects for inference depend critically on the population relationship between the variables defining reference groups and those directly affecting outcomes. Inference is difficult to implossible if these variables are functionally dependent or are statistically independent. The prospects are better if the variables defining reference groups and those directly affecting outcomes are moderately related in the population.","container-title":"The Review of Economic Studies","DOI":"10.2307/2298123","ISSN":"0034-6527","issue":"3","journalAbbreviation":"The Review of Economic Studies","page":"531-542","source":"Silverchair","title":"Identification of Endogenous Social Effects: The Reflection Problem","title-short":"Identification of Endogenous Social Effects","URL":"https://doi.org/10.2307/2298123","volume":"60","author":[{"family":"Manski","given":"Charles F."}],"accessed":{"date-parts":[["2022",10,27]]},"issued":{"date-parts":[["1993",7,1]]}}}],"schema":"https://github.com/citation-style-language/schema/raw/master/csl-citation.json"} </w:instrText>
      </w:r>
      <w:r w:rsidR="00827BFE" w:rsidRPr="00F13BB1">
        <w:rPr>
          <w:sz w:val="24"/>
          <w:szCs w:val="24"/>
        </w:rPr>
        <w:fldChar w:fldCharType="separate"/>
      </w:r>
      <w:r w:rsidR="00827BFE" w:rsidRPr="00F13BB1">
        <w:rPr>
          <w:rFonts w:ascii="Calibri" w:hAnsi="Calibri" w:cs="Calibri"/>
          <w:sz w:val="24"/>
          <w:szCs w:val="24"/>
        </w:rPr>
        <w:t xml:space="preserve">Manski </w:t>
      </w:r>
      <w:r w:rsidR="00C05737" w:rsidRPr="00F13BB1">
        <w:rPr>
          <w:rFonts w:ascii="Calibri" w:hAnsi="Calibri" w:cs="Calibri"/>
          <w:sz w:val="24"/>
          <w:szCs w:val="24"/>
        </w:rPr>
        <w:t>(</w:t>
      </w:r>
      <w:r w:rsidR="00827BFE" w:rsidRPr="00F13BB1">
        <w:rPr>
          <w:rFonts w:ascii="Calibri" w:hAnsi="Calibri" w:cs="Calibri"/>
          <w:sz w:val="24"/>
          <w:szCs w:val="24"/>
        </w:rPr>
        <w:t>1993)</w:t>
      </w:r>
      <w:r w:rsidR="00827BFE" w:rsidRPr="00F13BB1">
        <w:rPr>
          <w:sz w:val="24"/>
          <w:szCs w:val="24"/>
        </w:rPr>
        <w:fldChar w:fldCharType="end"/>
      </w:r>
      <w:r w:rsidR="002F369A" w:rsidRPr="00F13BB1">
        <w:rPr>
          <w:sz w:val="24"/>
          <w:szCs w:val="24"/>
        </w:rPr>
        <w:t xml:space="preserve">, which treats </w:t>
      </w:r>
      <w:r w:rsidR="00C05737" w:rsidRPr="00F13BB1">
        <w:rPr>
          <w:sz w:val="24"/>
          <w:szCs w:val="24"/>
        </w:rPr>
        <w:t xml:space="preserve">the </w:t>
      </w:r>
      <w:r w:rsidR="00D112EB" w:rsidRPr="00F13BB1">
        <w:rPr>
          <w:sz w:val="24"/>
          <w:szCs w:val="24"/>
        </w:rPr>
        <w:t xml:space="preserve">methodological difficulties in identifying </w:t>
      </w:r>
      <w:r w:rsidR="00D112EB" w:rsidRPr="00F13BB1">
        <w:rPr>
          <w:sz w:val="24"/>
          <w:szCs w:val="24"/>
        </w:rPr>
        <w:lastRenderedPageBreak/>
        <w:t>network effects</w:t>
      </w:r>
      <w:r w:rsidR="00F87842" w:rsidRPr="00F13BB1">
        <w:rPr>
          <w:sz w:val="24"/>
          <w:szCs w:val="24"/>
        </w:rPr>
        <w:t xml:space="preserve"> – referred to as the </w:t>
      </w:r>
      <w:r w:rsidR="00F87842" w:rsidRPr="00F13BB1">
        <w:rPr>
          <w:i/>
          <w:iCs/>
          <w:sz w:val="24"/>
          <w:szCs w:val="24"/>
        </w:rPr>
        <w:t>reflection problem</w:t>
      </w:r>
      <w:r w:rsidR="00F87842" w:rsidRPr="00F13BB1">
        <w:rPr>
          <w:sz w:val="24"/>
          <w:szCs w:val="24"/>
        </w:rPr>
        <w:t>.</w:t>
      </w:r>
      <w:r w:rsidR="0050136F" w:rsidRPr="00F13BB1">
        <w:rPr>
          <w:sz w:val="24"/>
          <w:szCs w:val="24"/>
        </w:rPr>
        <w:t xml:space="preserve">  </w:t>
      </w:r>
      <w:r w:rsidR="0050136F" w:rsidRPr="00F13BB1">
        <w:rPr>
          <w:sz w:val="24"/>
          <w:szCs w:val="24"/>
        </w:rPr>
        <w:fldChar w:fldCharType="begin"/>
      </w:r>
      <w:r w:rsidR="0050136F" w:rsidRPr="00F13BB1">
        <w:rPr>
          <w:sz w:val="24"/>
          <w:szCs w:val="24"/>
        </w:rPr>
        <w:instrText xml:space="preserve"> ADDIN ZOTERO_ITEM CSL_CITATION {"citationID":"4q7P1Pw2","properties":{"formattedCitation":"(Krishnan and Patnam, 2014)","plainCitation":"(Krishnan and Patnam, 2014)","noteIndex":0},"citationItems":[{"id":1630,"uris":["http://zotero.org/users/7916616/items/G6KPPJJW"],"itemData":{"id":1630,"type":"article-journal","abstract":"The increased adoption of fertilizer and improved seeds are two key aspects to raising the level of land productivity in Ethiopian agriculture. However, the adoption and diffusion of such technologies has been slow. We use data from Ethiopia between 1999–2009 to examine the role of learning from extension agents versus learning from neighbors for both improved seeds and fertilizer adoption. We combine farmers’ spatial networks with panel data to identify these inﬂuences, and ﬁnd that while the initial impact of extension agents was high, the effect wore off after some time, in contrast to learning from neighbors.","container-title":"American Journal of Agricultural Economics","DOI":"10.1093/ajae/aat017","ISSN":"0002-9092, 1467-8276","issue":"1","journalAbbreviation":"American Journal of Agricultural Economics","language":"en","page":"308-327","source":"DOI.org (Crossref)","title":"Neighbors and Extension Agents in Ethiopia: Who Matters More for Technology Adoption?","title-short":"Neighbors and Extension Agents in Ethiopia","URL":"https://onlinelibrary.wiley.com/doi/abs/10.1093/ajae/aat017","volume":"96","author":[{"family":"Krishnan","given":"Pramila"},{"family":"Patnam","given":"Manasa"}],"accessed":{"date-parts":[["2022",10,22]]},"issued":{"date-parts":[["2014",1]]}}}],"schema":"https://github.com/citation-style-language/schema/raw/master/csl-citation.json"} </w:instrText>
      </w:r>
      <w:r w:rsidR="0050136F" w:rsidRPr="00F13BB1">
        <w:rPr>
          <w:sz w:val="24"/>
          <w:szCs w:val="24"/>
        </w:rPr>
        <w:fldChar w:fldCharType="separate"/>
      </w:r>
      <w:r w:rsidR="0050136F" w:rsidRPr="00F13BB1">
        <w:rPr>
          <w:rFonts w:ascii="Calibri" w:hAnsi="Calibri" w:cs="Calibri"/>
          <w:sz w:val="24"/>
          <w:szCs w:val="24"/>
        </w:rPr>
        <w:t>Krishnan and Patnam</w:t>
      </w:r>
      <w:r w:rsidR="00B55907" w:rsidRPr="00F13BB1">
        <w:rPr>
          <w:rFonts w:ascii="Calibri" w:hAnsi="Calibri" w:cs="Calibri"/>
          <w:sz w:val="24"/>
          <w:szCs w:val="24"/>
        </w:rPr>
        <w:t xml:space="preserve"> (</w:t>
      </w:r>
      <w:r w:rsidR="0050136F" w:rsidRPr="00F13BB1">
        <w:rPr>
          <w:rFonts w:ascii="Calibri" w:hAnsi="Calibri" w:cs="Calibri"/>
          <w:sz w:val="24"/>
          <w:szCs w:val="24"/>
        </w:rPr>
        <w:t>2014)</w:t>
      </w:r>
      <w:r w:rsidR="0050136F" w:rsidRPr="00F13BB1">
        <w:rPr>
          <w:sz w:val="24"/>
          <w:szCs w:val="24"/>
        </w:rPr>
        <w:fldChar w:fldCharType="end"/>
      </w:r>
      <w:r w:rsidR="00B55907" w:rsidRPr="00F13BB1">
        <w:rPr>
          <w:sz w:val="24"/>
          <w:szCs w:val="24"/>
        </w:rPr>
        <w:t xml:space="preserve"> summarise this </w:t>
      </w:r>
      <w:r w:rsidR="00622039" w:rsidRPr="00F13BB1">
        <w:rPr>
          <w:sz w:val="24"/>
          <w:szCs w:val="24"/>
        </w:rPr>
        <w:t>as differentiating actual network effects</w:t>
      </w:r>
      <w:r w:rsidR="00E728ED" w:rsidRPr="00F13BB1">
        <w:rPr>
          <w:sz w:val="24"/>
          <w:szCs w:val="24"/>
        </w:rPr>
        <w:t xml:space="preserve"> from</w:t>
      </w:r>
      <w:r w:rsidR="006160FC" w:rsidRPr="00F13BB1">
        <w:rPr>
          <w:sz w:val="24"/>
          <w:szCs w:val="24"/>
        </w:rPr>
        <w:t xml:space="preserve"> </w:t>
      </w:r>
      <w:r w:rsidR="006160FC" w:rsidRPr="00F13BB1">
        <w:rPr>
          <w:i/>
          <w:iCs/>
          <w:sz w:val="24"/>
          <w:szCs w:val="24"/>
        </w:rPr>
        <w:t>contextual effects</w:t>
      </w:r>
      <w:r w:rsidR="006160FC" w:rsidRPr="00F13BB1">
        <w:rPr>
          <w:sz w:val="24"/>
          <w:szCs w:val="24"/>
        </w:rPr>
        <w:t xml:space="preserve"> </w:t>
      </w:r>
      <w:r w:rsidR="00545B36" w:rsidRPr="00F13BB1">
        <w:rPr>
          <w:sz w:val="24"/>
          <w:szCs w:val="24"/>
        </w:rPr>
        <w:t>– th</w:t>
      </w:r>
      <w:r w:rsidR="008F33C6" w:rsidRPr="00F13BB1">
        <w:rPr>
          <w:sz w:val="24"/>
          <w:szCs w:val="24"/>
        </w:rPr>
        <w:t xml:space="preserve">at an individual acts the same as their network </w:t>
      </w:r>
      <w:r w:rsidR="175B49CC" w:rsidRPr="00F13BB1">
        <w:rPr>
          <w:sz w:val="24"/>
          <w:szCs w:val="24"/>
        </w:rPr>
        <w:t xml:space="preserve">since </w:t>
      </w:r>
      <w:r w:rsidR="00545B36" w:rsidRPr="00F13BB1">
        <w:rPr>
          <w:sz w:val="24"/>
          <w:szCs w:val="24"/>
        </w:rPr>
        <w:t xml:space="preserve">they </w:t>
      </w:r>
      <w:r w:rsidR="009E458D" w:rsidRPr="00F13BB1">
        <w:rPr>
          <w:sz w:val="24"/>
          <w:szCs w:val="24"/>
        </w:rPr>
        <w:t xml:space="preserve">occupy the same </w:t>
      </w:r>
      <w:r w:rsidR="00545B36" w:rsidRPr="00F13BB1">
        <w:rPr>
          <w:sz w:val="24"/>
          <w:szCs w:val="24"/>
        </w:rPr>
        <w:t xml:space="preserve">environment and experience the same shocks - </w:t>
      </w:r>
      <w:r w:rsidR="006160FC" w:rsidRPr="00F13BB1">
        <w:rPr>
          <w:sz w:val="24"/>
          <w:szCs w:val="24"/>
        </w:rPr>
        <w:t xml:space="preserve">and </w:t>
      </w:r>
      <w:r w:rsidR="00545B36" w:rsidRPr="00F13BB1">
        <w:rPr>
          <w:i/>
          <w:iCs/>
          <w:sz w:val="24"/>
          <w:szCs w:val="24"/>
        </w:rPr>
        <w:t>correlated effects</w:t>
      </w:r>
      <w:r w:rsidR="00545B36" w:rsidRPr="00F13BB1">
        <w:rPr>
          <w:sz w:val="24"/>
          <w:szCs w:val="24"/>
        </w:rPr>
        <w:t xml:space="preserve"> </w:t>
      </w:r>
      <w:r w:rsidR="003D4691" w:rsidRPr="00F13BB1">
        <w:rPr>
          <w:sz w:val="24"/>
          <w:szCs w:val="24"/>
        </w:rPr>
        <w:t>–</w:t>
      </w:r>
      <w:r w:rsidR="00E728ED" w:rsidRPr="00F13BB1">
        <w:rPr>
          <w:sz w:val="24"/>
          <w:szCs w:val="24"/>
        </w:rPr>
        <w:t xml:space="preserve"> th</w:t>
      </w:r>
      <w:r w:rsidR="003D4691" w:rsidRPr="00F13BB1">
        <w:rPr>
          <w:sz w:val="24"/>
          <w:szCs w:val="24"/>
        </w:rPr>
        <w:t xml:space="preserve">at an individual’s behaviour is correlated </w:t>
      </w:r>
      <w:r w:rsidR="00A8299A" w:rsidRPr="00F13BB1">
        <w:rPr>
          <w:sz w:val="24"/>
          <w:szCs w:val="24"/>
        </w:rPr>
        <w:t xml:space="preserve">with </w:t>
      </w:r>
      <w:r w:rsidR="003D4691" w:rsidRPr="00F13BB1">
        <w:rPr>
          <w:sz w:val="24"/>
          <w:szCs w:val="24"/>
        </w:rPr>
        <w:t>his network</w:t>
      </w:r>
      <w:r w:rsidR="00C92944" w:rsidRPr="00F13BB1">
        <w:rPr>
          <w:sz w:val="24"/>
          <w:szCs w:val="24"/>
        </w:rPr>
        <w:t>’s</w:t>
      </w:r>
      <w:r w:rsidR="003D4691" w:rsidRPr="00F13BB1">
        <w:rPr>
          <w:sz w:val="24"/>
          <w:szCs w:val="24"/>
        </w:rPr>
        <w:t xml:space="preserve"> simply because they are likely to </w:t>
      </w:r>
      <w:r w:rsidR="00C92944" w:rsidRPr="00F13BB1">
        <w:rPr>
          <w:sz w:val="24"/>
          <w:szCs w:val="24"/>
        </w:rPr>
        <w:t>have</w:t>
      </w:r>
      <w:r w:rsidR="003D4691" w:rsidRPr="00F13BB1">
        <w:rPr>
          <w:sz w:val="24"/>
          <w:szCs w:val="24"/>
        </w:rPr>
        <w:t xml:space="preserve"> similar</w:t>
      </w:r>
      <w:r w:rsidR="00C92944" w:rsidRPr="00F13BB1">
        <w:rPr>
          <w:sz w:val="24"/>
          <w:szCs w:val="24"/>
        </w:rPr>
        <w:t xml:space="preserve"> characteristics</w:t>
      </w:r>
      <w:r w:rsidR="003D4691" w:rsidRPr="00F13BB1">
        <w:rPr>
          <w:rStyle w:val="FootnoteReference"/>
          <w:sz w:val="24"/>
          <w:szCs w:val="24"/>
        </w:rPr>
        <w:footnoteReference w:id="5"/>
      </w:r>
      <w:r w:rsidR="003D4691" w:rsidRPr="00F13BB1">
        <w:rPr>
          <w:sz w:val="24"/>
          <w:szCs w:val="24"/>
        </w:rPr>
        <w:t>.</w:t>
      </w:r>
      <w:r w:rsidR="00C92944" w:rsidRPr="00F13BB1">
        <w:rPr>
          <w:sz w:val="24"/>
          <w:szCs w:val="24"/>
        </w:rPr>
        <w:t xml:space="preserve"> </w:t>
      </w:r>
      <w:r w:rsidR="00E717DF" w:rsidRPr="00F13BB1">
        <w:rPr>
          <w:sz w:val="24"/>
          <w:szCs w:val="24"/>
        </w:rPr>
        <w:t xml:space="preserve">Addressing this reflection problem is thus at the centre of any study attempting to understand the influence of networks. </w:t>
      </w:r>
    </w:p>
    <w:p w14:paraId="3AFEE15F" w14:textId="0472C7DA" w:rsidR="000F3C83" w:rsidRDefault="003C6ABE" w:rsidP="007A3187">
      <w:pPr>
        <w:spacing w:line="480" w:lineRule="auto"/>
      </w:pPr>
      <w:r w:rsidRPr="00F13BB1">
        <w:rPr>
          <w:sz w:val="24"/>
          <w:szCs w:val="24"/>
        </w:rPr>
        <w:t>There is</w:t>
      </w:r>
      <w:r w:rsidR="00D14817" w:rsidRPr="00F13BB1">
        <w:rPr>
          <w:sz w:val="24"/>
          <w:szCs w:val="24"/>
        </w:rPr>
        <w:t>,</w:t>
      </w:r>
      <w:r w:rsidRPr="00F13BB1">
        <w:rPr>
          <w:sz w:val="24"/>
          <w:szCs w:val="24"/>
        </w:rPr>
        <w:t xml:space="preserve"> however, considerable variation in the literature,</w:t>
      </w:r>
      <w:r w:rsidR="7FCA8865" w:rsidRPr="00F13BB1">
        <w:rPr>
          <w:sz w:val="24"/>
          <w:szCs w:val="24"/>
        </w:rPr>
        <w:t xml:space="preserve"> in</w:t>
      </w:r>
      <w:r w:rsidRPr="00F13BB1">
        <w:rPr>
          <w:sz w:val="24"/>
          <w:szCs w:val="24"/>
        </w:rPr>
        <w:t xml:space="preserve"> both</w:t>
      </w:r>
      <w:r w:rsidR="000F3C83" w:rsidRPr="00F13BB1">
        <w:rPr>
          <w:sz w:val="24"/>
          <w:szCs w:val="24"/>
        </w:rPr>
        <w:t xml:space="preserve"> </w:t>
      </w:r>
      <w:r w:rsidR="000C73B7" w:rsidRPr="00F13BB1">
        <w:rPr>
          <w:sz w:val="24"/>
          <w:szCs w:val="24"/>
        </w:rPr>
        <w:t xml:space="preserve">the </w:t>
      </w:r>
      <w:r w:rsidR="000F3C83" w:rsidRPr="00F13BB1">
        <w:rPr>
          <w:sz w:val="24"/>
          <w:szCs w:val="24"/>
        </w:rPr>
        <w:t xml:space="preserve">approach to </w:t>
      </w:r>
      <w:r w:rsidR="00070632" w:rsidRPr="00F13BB1">
        <w:rPr>
          <w:sz w:val="24"/>
          <w:szCs w:val="24"/>
        </w:rPr>
        <w:t xml:space="preserve">addressing this reflection problem, and </w:t>
      </w:r>
      <w:r w:rsidR="000F3C83" w:rsidRPr="00F13BB1">
        <w:rPr>
          <w:sz w:val="24"/>
          <w:szCs w:val="24"/>
        </w:rPr>
        <w:t>the</w:t>
      </w:r>
      <w:r w:rsidR="00C51EAC" w:rsidRPr="00F13BB1">
        <w:rPr>
          <w:sz w:val="24"/>
          <w:szCs w:val="24"/>
        </w:rPr>
        <w:t xml:space="preserve"> theoretical underpinnings</w:t>
      </w:r>
      <w:r w:rsidR="22762747" w:rsidRPr="00F13BB1">
        <w:rPr>
          <w:sz w:val="24"/>
          <w:szCs w:val="24"/>
        </w:rPr>
        <w:t xml:space="preserve"> and methods</w:t>
      </w:r>
      <w:r w:rsidR="00C51EAC" w:rsidRPr="00F13BB1">
        <w:rPr>
          <w:sz w:val="24"/>
          <w:szCs w:val="24"/>
        </w:rPr>
        <w:t xml:space="preserve"> used</w:t>
      </w:r>
      <w:r w:rsidR="00070632" w:rsidRPr="00F13BB1">
        <w:rPr>
          <w:sz w:val="24"/>
          <w:szCs w:val="24"/>
        </w:rPr>
        <w:t xml:space="preserve"> in studying network effects</w:t>
      </w:r>
      <w:r w:rsidR="00C51EAC" w:rsidRPr="00F13BB1">
        <w:rPr>
          <w:sz w:val="24"/>
          <w:szCs w:val="24"/>
        </w:rPr>
        <w:t xml:space="preserve">. </w:t>
      </w:r>
      <w:r w:rsidR="00D415BF" w:rsidRPr="00F13BB1">
        <w:rPr>
          <w:sz w:val="24"/>
          <w:szCs w:val="24"/>
        </w:rPr>
        <w:t>One distinction is that s</w:t>
      </w:r>
      <w:r w:rsidR="000176DD" w:rsidRPr="00F13BB1">
        <w:rPr>
          <w:sz w:val="24"/>
          <w:szCs w:val="24"/>
        </w:rPr>
        <w:t>ome</w:t>
      </w:r>
      <w:r w:rsidR="00C51EAC" w:rsidRPr="00F13BB1">
        <w:rPr>
          <w:sz w:val="24"/>
          <w:szCs w:val="24"/>
        </w:rPr>
        <w:t xml:space="preserve"> studies</w:t>
      </w:r>
      <w:r w:rsidR="0009035C" w:rsidRPr="00F13BB1">
        <w:rPr>
          <w:sz w:val="24"/>
          <w:szCs w:val="24"/>
        </w:rPr>
        <w:t xml:space="preserve">, such </w:t>
      </w:r>
      <w:r w:rsidR="000176DD" w:rsidRPr="00F13BB1">
        <w:rPr>
          <w:sz w:val="24"/>
          <w:szCs w:val="24"/>
        </w:rPr>
        <w:t xml:space="preserve">as that by </w:t>
      </w:r>
      <w:r w:rsidRPr="00F13BB1">
        <w:rPr>
          <w:sz w:val="24"/>
          <w:szCs w:val="24"/>
        </w:rPr>
        <w:fldChar w:fldCharType="begin"/>
      </w:r>
      <w:r w:rsidRPr="00F13BB1">
        <w:rPr>
          <w:sz w:val="24"/>
          <w:szCs w:val="24"/>
        </w:rPr>
        <w:instrText xml:space="preserve"> ADDIN ZOTERO_ITEM CSL_CITATION {"citationID":"KvC6tdZw","properties":{"formattedCitation":"(Kim {\\i{}et al.}, 2015)","plainCitation":"(Kim et al., 2015)","noteIndex":0},"citationItems":[{"id":2041,"uris":["http://zotero.org/users/7916616/items/HR4TU7K7"],"itemData":{"id":2041,"type":"article-journal","abstract":"Background\nInformation and behaviour can spread through interpersonal ties. By targeting influential individuals, health interventions that harness the distributive properties of social networks could be made more effective and efficient than those that do not. Our aim was to assess which targeting methods produce the greatest cascades or spillover effects and hence maximise population-level behaviour change.\nMethods\nIn this cluster randomised trial, participants were recruited from villages of the Department of Lempira, Honduras. We blocked villages on the basis of network size, socioeconomic status, and baseline rates of water purification, for delivery of two public health interventions: chlorine for water purification and multivitamins for micronutrient deficiencies. We then randomised villages, separately for each intervention, to one of three targeting methods, introducing the interventions to 5% samples composed of either: randomly selected villagers (n=9 villages for each intervention); villagers with the most social ties (n=9); or nominated friends of random villagers (n=9; the last strategy exploiting the so-called friendship paradox of social networks). Participants and data collectors were not aware of the targeting methods. Primary endpoints were the proportions of available products redeemed by the entire population under each targeting method. This trial is registered with ClinicalTrials.gov, number NCT01672580.\nFindings\nBetween Aug 4, and Aug 14, 2012, 32 villages in rural Honduras (25–541 participants each; total study population of 5773) received public health interventions. For each intervention, nine villages (each with 1–20 initial target individuals) were randomised, using a blocked design, to each of the three targeting methods. In nomination-targeted villages, 951 (74·3%) of 1280 available multivitamin tickets were redeemed compared with 940 (66·2%) of 1420 in randomly targeted villages and 744 (61·0%) of 1220 in indegree-targeted villages. All pairwise differences in redemption rates were significant (p&lt;0·01) after correction for multiple comparisons. Targeting nominated friends increased adoption of the nutritional intervention by 12·2% compared with random targeting (95% CI 6·9–17·9). Targeting the most highly connected individuals, by contrast, produced no greater adoption of either intervention, compared with random targeting.\nInterpretation\nIntroduction of a health intervention to the nominated friends of random individuals can enhance that intervention's diffusion by exploiting intrinsic properties of human social networks. This method has the additional advantage of scalability because it can be implemented without mapping the network. Deployment of certain types of health interventions via network targeting, without increasing the number of individuals targeted or the resources used, could enhance the adoption and efficiency of those interventions, thereby improving population health.\nFunding\nNational Institutes of Health, The Bill &amp; Melinda Gates Foundation, Star Family Foundation, and the Canadian Institutes of Health Research.","container-title":"The Lancet","DOI":"10.1016/S0140-6736(15)60095-2","ISSN":"0140-6736","issue":"9989","journalAbbreviation":"The Lancet","language":"en","page":"145-153","source":"ScienceDirect","title":"Social network targeting to maximise population behaviour change: a cluster randomised controlled trial","title-short":"Social network targeting to maximise population behaviour change","URL":"https://www.sciencedirect.com/science/article/pii/S0140673615600952","volume":"386","author":[{"family":"Kim","given":"David A"},{"family":"Hwong","given":"Alison R"},{"family":"Stafford","given":"Derek"},{"family":"Hughes","given":"D Alex"},{"family":"O'Malley","given":"A James"},{"family":"Fowler","given":"James H"},{"family":"Christakis","given":"Nicholas A"}],"accessed":{"date-parts":[["2022",10,25]]},"issued":{"date-parts":[["2015",7,11]]}}}],"schema":"https://github.com/citation-style-language/schema/raw/master/csl-citation.json"} </w:instrText>
      </w:r>
      <w:r w:rsidRPr="00F13BB1">
        <w:rPr>
          <w:sz w:val="24"/>
          <w:szCs w:val="24"/>
        </w:rPr>
        <w:fldChar w:fldCharType="separate"/>
      </w:r>
      <w:r w:rsidR="000176DD" w:rsidRPr="00F13BB1">
        <w:rPr>
          <w:rFonts w:ascii="Calibri" w:hAnsi="Calibri" w:cs="Calibri"/>
          <w:sz w:val="24"/>
          <w:szCs w:val="24"/>
        </w:rPr>
        <w:t xml:space="preserve">Kim </w:t>
      </w:r>
      <w:r w:rsidR="000176DD" w:rsidRPr="00F13BB1">
        <w:rPr>
          <w:rFonts w:ascii="Calibri" w:hAnsi="Calibri" w:cs="Calibri"/>
          <w:i/>
          <w:iCs/>
          <w:sz w:val="24"/>
          <w:szCs w:val="24"/>
        </w:rPr>
        <w:t>et al.</w:t>
      </w:r>
      <w:r w:rsidR="002B554A" w:rsidRPr="00F13BB1">
        <w:rPr>
          <w:rFonts w:ascii="Calibri" w:hAnsi="Calibri" w:cs="Calibri"/>
          <w:sz w:val="24"/>
          <w:szCs w:val="24"/>
        </w:rPr>
        <w:t xml:space="preserve"> (</w:t>
      </w:r>
      <w:r w:rsidR="000176DD" w:rsidRPr="00F13BB1">
        <w:rPr>
          <w:rFonts w:ascii="Calibri" w:hAnsi="Calibri" w:cs="Calibri"/>
          <w:sz w:val="24"/>
          <w:szCs w:val="24"/>
        </w:rPr>
        <w:t>2015)</w:t>
      </w:r>
      <w:r w:rsidRPr="00F13BB1">
        <w:rPr>
          <w:sz w:val="24"/>
          <w:szCs w:val="24"/>
        </w:rPr>
        <w:fldChar w:fldCharType="end"/>
      </w:r>
      <w:r w:rsidR="002B554A" w:rsidRPr="00F13BB1">
        <w:rPr>
          <w:sz w:val="24"/>
          <w:szCs w:val="24"/>
        </w:rPr>
        <w:t xml:space="preserve">, measure </w:t>
      </w:r>
      <w:r w:rsidR="7963F201" w:rsidRPr="00F13BB1">
        <w:rPr>
          <w:sz w:val="24"/>
          <w:szCs w:val="24"/>
        </w:rPr>
        <w:t>network effects</w:t>
      </w:r>
      <w:r w:rsidR="002B554A" w:rsidRPr="00F13BB1">
        <w:rPr>
          <w:sz w:val="24"/>
          <w:szCs w:val="24"/>
        </w:rPr>
        <w:t xml:space="preserve"> on a network</w:t>
      </w:r>
      <w:r w:rsidR="00B55999" w:rsidRPr="00F13BB1">
        <w:rPr>
          <w:sz w:val="24"/>
          <w:szCs w:val="24"/>
        </w:rPr>
        <w:t xml:space="preserve"> or community</w:t>
      </w:r>
      <w:r w:rsidR="002B554A" w:rsidRPr="00F13BB1">
        <w:rPr>
          <w:sz w:val="24"/>
          <w:szCs w:val="24"/>
        </w:rPr>
        <w:t xml:space="preserve"> level – in Kim</w:t>
      </w:r>
      <w:r w:rsidR="0DC884C3" w:rsidRPr="00F13BB1">
        <w:rPr>
          <w:sz w:val="24"/>
          <w:szCs w:val="24"/>
        </w:rPr>
        <w:t xml:space="preserve"> </w:t>
      </w:r>
      <w:r w:rsidR="0DC884C3" w:rsidRPr="00F13BB1">
        <w:rPr>
          <w:i/>
          <w:iCs/>
          <w:sz w:val="24"/>
          <w:szCs w:val="24"/>
        </w:rPr>
        <w:t>et al.</w:t>
      </w:r>
      <w:r w:rsidR="002B554A" w:rsidRPr="00F13BB1">
        <w:rPr>
          <w:sz w:val="24"/>
          <w:szCs w:val="24"/>
        </w:rPr>
        <w:t xml:space="preserve">’s case, by </w:t>
      </w:r>
      <w:r w:rsidR="00B55999" w:rsidRPr="00F13BB1">
        <w:rPr>
          <w:sz w:val="24"/>
          <w:szCs w:val="24"/>
        </w:rPr>
        <w:t xml:space="preserve">measuring </w:t>
      </w:r>
      <w:r w:rsidR="00E766E8" w:rsidRPr="00F13BB1">
        <w:rPr>
          <w:sz w:val="24"/>
          <w:szCs w:val="24"/>
        </w:rPr>
        <w:t>the</w:t>
      </w:r>
      <w:r w:rsidR="00B55999" w:rsidRPr="00F13BB1">
        <w:rPr>
          <w:sz w:val="24"/>
          <w:szCs w:val="24"/>
        </w:rPr>
        <w:t xml:space="preserve"> proportion </w:t>
      </w:r>
      <w:r w:rsidR="006A0E29" w:rsidRPr="00F13BB1">
        <w:rPr>
          <w:sz w:val="24"/>
          <w:szCs w:val="24"/>
        </w:rPr>
        <w:t xml:space="preserve">of food vouchers </w:t>
      </w:r>
      <w:r w:rsidR="00E766E8" w:rsidRPr="00F13BB1">
        <w:rPr>
          <w:sz w:val="24"/>
          <w:szCs w:val="24"/>
        </w:rPr>
        <w:t>redeemed</w:t>
      </w:r>
      <w:r w:rsidR="006A0E29" w:rsidRPr="00F13BB1">
        <w:rPr>
          <w:sz w:val="24"/>
          <w:szCs w:val="24"/>
        </w:rPr>
        <w:t xml:space="preserve"> </w:t>
      </w:r>
      <w:r w:rsidR="006A0E29" w:rsidRPr="00F13BB1">
        <w:rPr>
          <w:i/>
          <w:iCs/>
          <w:sz w:val="24"/>
          <w:szCs w:val="24"/>
        </w:rPr>
        <w:t>in a village</w:t>
      </w:r>
      <w:r w:rsidR="006A0E29" w:rsidRPr="00F13BB1">
        <w:rPr>
          <w:sz w:val="24"/>
          <w:szCs w:val="24"/>
        </w:rPr>
        <w:t>.</w:t>
      </w:r>
      <w:r w:rsidR="000247E4" w:rsidRPr="00F13BB1">
        <w:rPr>
          <w:sz w:val="24"/>
          <w:szCs w:val="24"/>
        </w:rPr>
        <w:t xml:space="preserve"> </w:t>
      </w:r>
      <w:r w:rsidR="00A44FFF" w:rsidRPr="00F13BB1">
        <w:rPr>
          <w:sz w:val="24"/>
          <w:szCs w:val="24"/>
        </w:rPr>
        <w:t>This</w:t>
      </w:r>
      <w:r w:rsidR="007F51D8" w:rsidRPr="00F13BB1">
        <w:rPr>
          <w:sz w:val="24"/>
          <w:szCs w:val="24"/>
        </w:rPr>
        <w:t xml:space="preserve"> approach</w:t>
      </w:r>
      <w:r w:rsidR="000247E4" w:rsidRPr="00F13BB1">
        <w:rPr>
          <w:sz w:val="24"/>
          <w:szCs w:val="24"/>
        </w:rPr>
        <w:t xml:space="preserve"> </w:t>
      </w:r>
      <w:r w:rsidR="00A44FFF" w:rsidRPr="00F13BB1">
        <w:rPr>
          <w:sz w:val="24"/>
          <w:szCs w:val="24"/>
        </w:rPr>
        <w:t xml:space="preserve">is </w:t>
      </w:r>
      <w:r w:rsidR="000247E4" w:rsidRPr="00F13BB1">
        <w:rPr>
          <w:sz w:val="24"/>
          <w:szCs w:val="24"/>
        </w:rPr>
        <w:t xml:space="preserve">particularly </w:t>
      </w:r>
      <w:r w:rsidR="00A44FFF" w:rsidRPr="00F13BB1">
        <w:rPr>
          <w:sz w:val="24"/>
          <w:szCs w:val="24"/>
        </w:rPr>
        <w:t>common when</w:t>
      </w:r>
      <w:r w:rsidR="00953D44" w:rsidRPr="00F13BB1">
        <w:rPr>
          <w:sz w:val="24"/>
          <w:szCs w:val="24"/>
        </w:rPr>
        <w:t xml:space="preserve"> studying </w:t>
      </w:r>
      <w:r w:rsidR="000247E4" w:rsidRPr="00F13BB1">
        <w:rPr>
          <w:sz w:val="24"/>
          <w:szCs w:val="24"/>
        </w:rPr>
        <w:t>lead</w:t>
      </w:r>
      <w:r w:rsidR="00E766E8" w:rsidRPr="00F13BB1">
        <w:rPr>
          <w:sz w:val="24"/>
          <w:szCs w:val="24"/>
        </w:rPr>
        <w:t>-</w:t>
      </w:r>
      <w:r w:rsidR="000247E4" w:rsidRPr="00F13BB1">
        <w:rPr>
          <w:sz w:val="24"/>
          <w:szCs w:val="24"/>
        </w:rPr>
        <w:t xml:space="preserve">farmer </w:t>
      </w:r>
      <w:r w:rsidR="00C42E2F" w:rsidRPr="00F13BB1">
        <w:rPr>
          <w:sz w:val="24"/>
          <w:szCs w:val="24"/>
        </w:rPr>
        <w:t>selection</w:t>
      </w:r>
      <w:r w:rsidR="002F4116" w:rsidRPr="00F13BB1">
        <w:rPr>
          <w:sz w:val="24"/>
          <w:szCs w:val="24"/>
        </w:rPr>
        <w:t>.</w:t>
      </w:r>
      <w:r w:rsidR="00953D44" w:rsidRPr="00F13BB1">
        <w:rPr>
          <w:sz w:val="24"/>
          <w:szCs w:val="24"/>
        </w:rPr>
        <w:t xml:space="preserve"> </w:t>
      </w:r>
      <w:r w:rsidR="00BE0FEF" w:rsidRPr="00F13BB1">
        <w:rPr>
          <w:sz w:val="24"/>
          <w:szCs w:val="24"/>
        </w:rPr>
        <w:t>Other</w:t>
      </w:r>
      <w:r w:rsidR="009B295E" w:rsidRPr="00F13BB1">
        <w:rPr>
          <w:sz w:val="24"/>
          <w:szCs w:val="24"/>
        </w:rPr>
        <w:t xml:space="preserve">s </w:t>
      </w:r>
      <w:r w:rsidR="00AD2A0E" w:rsidRPr="00F13BB1">
        <w:rPr>
          <w:sz w:val="24"/>
          <w:szCs w:val="24"/>
        </w:rPr>
        <w:t xml:space="preserve">model </w:t>
      </w:r>
      <w:r w:rsidR="61D3309B" w:rsidRPr="00F13BB1">
        <w:rPr>
          <w:sz w:val="24"/>
          <w:szCs w:val="24"/>
        </w:rPr>
        <w:t>network effects</w:t>
      </w:r>
      <w:r w:rsidR="00AD2A0E" w:rsidRPr="00F13BB1">
        <w:rPr>
          <w:sz w:val="24"/>
          <w:szCs w:val="24"/>
        </w:rPr>
        <w:t xml:space="preserve"> at the individual level, </w:t>
      </w:r>
      <w:r w:rsidR="005E5D82" w:rsidRPr="00F13BB1">
        <w:rPr>
          <w:sz w:val="24"/>
          <w:szCs w:val="24"/>
        </w:rPr>
        <w:t>looking at s</w:t>
      </w:r>
      <w:r w:rsidR="000F6CA9" w:rsidRPr="00F13BB1">
        <w:rPr>
          <w:sz w:val="24"/>
          <w:szCs w:val="24"/>
        </w:rPr>
        <w:t>ingular</w:t>
      </w:r>
      <w:r w:rsidR="005E5D82" w:rsidRPr="00F13BB1">
        <w:rPr>
          <w:sz w:val="24"/>
          <w:szCs w:val="24"/>
        </w:rPr>
        <w:t xml:space="preserve"> farmers’ response</w:t>
      </w:r>
      <w:r w:rsidR="000F6CA9" w:rsidRPr="00F13BB1">
        <w:rPr>
          <w:sz w:val="24"/>
          <w:szCs w:val="24"/>
        </w:rPr>
        <w:t>s</w:t>
      </w:r>
      <w:r w:rsidR="005E5D82" w:rsidRPr="00F13BB1">
        <w:rPr>
          <w:sz w:val="24"/>
          <w:szCs w:val="24"/>
        </w:rPr>
        <w:t xml:space="preserve"> to </w:t>
      </w:r>
      <w:r w:rsidR="00906F13" w:rsidRPr="00F13BB1">
        <w:rPr>
          <w:sz w:val="24"/>
          <w:szCs w:val="24"/>
        </w:rPr>
        <w:t xml:space="preserve">network </w:t>
      </w:r>
      <w:r w:rsidR="5AED8460" w:rsidRPr="00F13BB1">
        <w:rPr>
          <w:sz w:val="24"/>
          <w:szCs w:val="24"/>
        </w:rPr>
        <w:t xml:space="preserve">circumstances </w:t>
      </w:r>
      <w:r w:rsidR="00906F13" w:rsidRPr="00F13BB1">
        <w:rPr>
          <w:sz w:val="24"/>
          <w:szCs w:val="24"/>
        </w:rPr>
        <w:t xml:space="preserve">specific to them. It is </w:t>
      </w:r>
      <w:r w:rsidR="0280BE03" w:rsidRPr="00F13BB1">
        <w:rPr>
          <w:i/>
          <w:iCs/>
          <w:sz w:val="24"/>
          <w:szCs w:val="24"/>
        </w:rPr>
        <w:t xml:space="preserve">solely </w:t>
      </w:r>
      <w:r w:rsidR="00906F13" w:rsidRPr="00F13BB1">
        <w:rPr>
          <w:i/>
          <w:iCs/>
          <w:sz w:val="24"/>
          <w:szCs w:val="24"/>
        </w:rPr>
        <w:t>th</w:t>
      </w:r>
      <w:r w:rsidR="186AA369" w:rsidRPr="00F13BB1">
        <w:rPr>
          <w:i/>
          <w:iCs/>
          <w:sz w:val="24"/>
          <w:szCs w:val="24"/>
        </w:rPr>
        <w:t>e</w:t>
      </w:r>
      <w:r w:rsidR="00906F13" w:rsidRPr="00F13BB1">
        <w:rPr>
          <w:i/>
          <w:iCs/>
          <w:sz w:val="24"/>
          <w:szCs w:val="24"/>
        </w:rPr>
        <w:t xml:space="preserve"> latter class</w:t>
      </w:r>
      <w:r w:rsidR="00906F13" w:rsidRPr="00F13BB1">
        <w:rPr>
          <w:sz w:val="24"/>
          <w:szCs w:val="24"/>
        </w:rPr>
        <w:t xml:space="preserve"> that this review will focus on</w:t>
      </w:r>
      <w:r w:rsidR="12C023C6" w:rsidRPr="00F13BB1">
        <w:rPr>
          <w:sz w:val="24"/>
          <w:szCs w:val="24"/>
        </w:rPr>
        <w:t xml:space="preserve">, as </w:t>
      </w:r>
      <w:r w:rsidR="002A2674" w:rsidRPr="00F13BB1">
        <w:rPr>
          <w:sz w:val="24"/>
          <w:szCs w:val="24"/>
        </w:rPr>
        <w:t xml:space="preserve">they </w:t>
      </w:r>
      <w:r w:rsidR="000F6CA9" w:rsidRPr="00F13BB1">
        <w:rPr>
          <w:sz w:val="24"/>
          <w:szCs w:val="24"/>
        </w:rPr>
        <w:t>have the potential to</w:t>
      </w:r>
      <w:r w:rsidR="002A2674" w:rsidRPr="00F13BB1">
        <w:rPr>
          <w:sz w:val="24"/>
          <w:szCs w:val="24"/>
        </w:rPr>
        <w:t xml:space="preserve"> </w:t>
      </w:r>
      <w:r w:rsidR="001B1A2F" w:rsidRPr="00F13BB1">
        <w:rPr>
          <w:sz w:val="24"/>
          <w:szCs w:val="24"/>
        </w:rPr>
        <w:t xml:space="preserve">capture actual dynamics between individuals which </w:t>
      </w:r>
      <w:r w:rsidR="232E4B6A" w:rsidRPr="00F13BB1">
        <w:rPr>
          <w:sz w:val="24"/>
          <w:szCs w:val="24"/>
        </w:rPr>
        <w:t xml:space="preserve">explain </w:t>
      </w:r>
      <w:r w:rsidR="00D23DFD" w:rsidRPr="00F13BB1">
        <w:rPr>
          <w:sz w:val="24"/>
          <w:szCs w:val="24"/>
        </w:rPr>
        <w:t>how and whe</w:t>
      </w:r>
      <w:r w:rsidR="00903999" w:rsidRPr="00F13BB1">
        <w:rPr>
          <w:sz w:val="24"/>
          <w:szCs w:val="24"/>
        </w:rPr>
        <w:t>n</w:t>
      </w:r>
      <w:r w:rsidR="00D23DFD" w:rsidRPr="00F13BB1">
        <w:rPr>
          <w:sz w:val="24"/>
          <w:szCs w:val="24"/>
        </w:rPr>
        <w:t xml:space="preserve"> </w:t>
      </w:r>
      <w:r w:rsidR="00006537" w:rsidRPr="00F13BB1">
        <w:rPr>
          <w:sz w:val="24"/>
          <w:szCs w:val="24"/>
        </w:rPr>
        <w:t>network effects</w:t>
      </w:r>
      <w:r w:rsidR="00D23DFD" w:rsidRPr="00F13BB1">
        <w:rPr>
          <w:sz w:val="24"/>
          <w:szCs w:val="24"/>
        </w:rPr>
        <w:t xml:space="preserve"> operate</w:t>
      </w:r>
      <w:r w:rsidR="00006537" w:rsidRPr="00F13BB1">
        <w:rPr>
          <w:sz w:val="24"/>
          <w:szCs w:val="24"/>
        </w:rPr>
        <w:t>.</w:t>
      </w:r>
      <w:r w:rsidR="00D23DFD" w:rsidRPr="00F13BB1">
        <w:rPr>
          <w:sz w:val="24"/>
          <w:szCs w:val="24"/>
        </w:rPr>
        <w:t xml:space="preserve"> </w:t>
      </w:r>
    </w:p>
    <w:p w14:paraId="082B0932" w14:textId="07824ACB" w:rsidR="000E2462" w:rsidRPr="002F369A" w:rsidRDefault="000E2462" w:rsidP="007A3187">
      <w:pPr>
        <w:pStyle w:val="Heading1"/>
        <w:spacing w:line="480" w:lineRule="auto"/>
      </w:pPr>
      <w:r>
        <w:t>Key Papers’ Review</w:t>
      </w:r>
    </w:p>
    <w:p w14:paraId="43A53B57" w14:textId="6E20945A" w:rsidR="00AE6A29" w:rsidRPr="00F13BB1" w:rsidRDefault="0021797F" w:rsidP="007A3187">
      <w:pPr>
        <w:spacing w:line="480" w:lineRule="auto"/>
        <w:rPr>
          <w:sz w:val="24"/>
          <w:szCs w:val="24"/>
        </w:rPr>
      </w:pPr>
      <w:r w:rsidRPr="00F13BB1">
        <w:rPr>
          <w:sz w:val="24"/>
          <w:szCs w:val="24"/>
        </w:rPr>
        <w:fldChar w:fldCharType="begin"/>
      </w:r>
      <w:r w:rsidRPr="00F13BB1">
        <w:rPr>
          <w:sz w:val="24"/>
          <w:szCs w:val="24"/>
        </w:rPr>
        <w:instrText xml:space="preserve"> ADDIN ZOTERO_ITEM CSL_CITATION {"citationID":"FIqQkiWe","properties":{"formattedCitation":"(Krishnan and Patnam, 2014)","plainCitation":"(Krishnan and Patnam, 2014)","noteIndex":0},"citationItems":[{"id":1630,"uris":["http://zotero.org/users/7916616/items/G6KPPJJW"],"itemData":{"id":1630,"type":"article-journal","abstract":"The increased adoption of fertilizer and improved seeds are two key aspects to raising the level of land productivity in Ethiopian agriculture. However, the adoption and diffusion of such technologies has been slow. We use data from Ethiopia between 1999–2009 to examine the role of learning from extension agents versus learning from neighbors for both improved seeds and fertilizer adoption. We combine farmers’ spatial networks with panel data to identify these inﬂuences, and ﬁnd that while the initial impact of extension agents was high, the effect wore off after some time, in contrast to learning from neighbors.","container-title":"American Journal of Agricultural Economics","DOI":"10.1093/ajae/aat017","ISSN":"0002-9092, 1467-8276","issue":"1","journalAbbreviation":"American Journal of Agricultural Economics","language":"en","page":"308-327","source":"DOI.org (Crossref)","title":"Neighbors and Extension Agents in Ethiopia: Who Matters More for Technology Adoption?","title-short":"Neighbors and Extension Agents in Ethiopia","URL":"https://onlinelibrary.wiley.com/doi/abs/10.1093/ajae/aat017","volume":"96","author":[{"family":"Krishnan","given":"Pramila"},{"family":"Patnam","given":"Manasa"}],"accessed":{"date-parts":[["2022",10,22]]},"issued":{"date-parts":[["2014",1]]}}}],"schema":"https://github.com/citation-style-language/schema/raw/master/csl-citation.json"} </w:instrText>
      </w:r>
      <w:r w:rsidRPr="00F13BB1">
        <w:rPr>
          <w:sz w:val="24"/>
          <w:szCs w:val="24"/>
        </w:rPr>
        <w:fldChar w:fldCharType="separate"/>
      </w:r>
      <w:r w:rsidRPr="00F13BB1">
        <w:rPr>
          <w:rFonts w:ascii="Calibri" w:hAnsi="Calibri" w:cs="Calibri"/>
          <w:sz w:val="24"/>
          <w:szCs w:val="24"/>
        </w:rPr>
        <w:t>Krishnan and Patnam (2014)</w:t>
      </w:r>
      <w:r w:rsidRPr="00F13BB1">
        <w:rPr>
          <w:sz w:val="24"/>
          <w:szCs w:val="24"/>
        </w:rPr>
        <w:fldChar w:fldCharType="end"/>
      </w:r>
      <w:r w:rsidRPr="00F13BB1">
        <w:rPr>
          <w:sz w:val="24"/>
          <w:szCs w:val="24"/>
        </w:rPr>
        <w:t xml:space="preserve"> </w:t>
      </w:r>
      <w:r w:rsidR="00D22196" w:rsidRPr="00F13BB1">
        <w:rPr>
          <w:sz w:val="24"/>
          <w:szCs w:val="24"/>
        </w:rPr>
        <w:t>use</w:t>
      </w:r>
      <w:r w:rsidR="008367B9" w:rsidRPr="00F13BB1">
        <w:rPr>
          <w:sz w:val="24"/>
          <w:szCs w:val="24"/>
        </w:rPr>
        <w:t xml:space="preserve"> household </w:t>
      </w:r>
      <w:r w:rsidR="00D22196" w:rsidRPr="00F13BB1">
        <w:rPr>
          <w:sz w:val="24"/>
          <w:szCs w:val="24"/>
        </w:rPr>
        <w:t xml:space="preserve">panel data </w:t>
      </w:r>
      <w:r w:rsidR="00811D9B" w:rsidRPr="00F13BB1">
        <w:rPr>
          <w:sz w:val="24"/>
          <w:szCs w:val="24"/>
        </w:rPr>
        <w:t xml:space="preserve">on fertiliser and improved seed adoption in Ethiopia to </w:t>
      </w:r>
      <w:r w:rsidR="00971135" w:rsidRPr="00F13BB1">
        <w:rPr>
          <w:sz w:val="24"/>
          <w:szCs w:val="24"/>
        </w:rPr>
        <w:t>measure</w:t>
      </w:r>
      <w:r w:rsidR="00811D9B" w:rsidRPr="00F13BB1">
        <w:rPr>
          <w:sz w:val="24"/>
          <w:szCs w:val="24"/>
        </w:rPr>
        <w:t xml:space="preserve"> </w:t>
      </w:r>
      <w:r w:rsidR="007B7FD1" w:rsidRPr="00F13BB1">
        <w:rPr>
          <w:sz w:val="24"/>
          <w:szCs w:val="24"/>
        </w:rPr>
        <w:t>network effects</w:t>
      </w:r>
      <w:r w:rsidR="00971135" w:rsidRPr="00F13BB1">
        <w:rPr>
          <w:sz w:val="24"/>
          <w:szCs w:val="24"/>
        </w:rPr>
        <w:t xml:space="preserve">. </w:t>
      </w:r>
      <w:r w:rsidR="00A606CA" w:rsidRPr="00F13BB1">
        <w:rPr>
          <w:sz w:val="24"/>
          <w:szCs w:val="24"/>
        </w:rPr>
        <w:t>Due to th</w:t>
      </w:r>
      <w:r w:rsidR="00CF6AB3" w:rsidRPr="00F13BB1">
        <w:rPr>
          <w:sz w:val="24"/>
          <w:szCs w:val="24"/>
        </w:rPr>
        <w:t xml:space="preserve">e unavailability of network data, authors </w:t>
      </w:r>
      <w:r w:rsidR="00233D5B" w:rsidRPr="00F13BB1">
        <w:rPr>
          <w:sz w:val="24"/>
          <w:szCs w:val="24"/>
        </w:rPr>
        <w:t>us</w:t>
      </w:r>
      <w:r w:rsidR="00CF6AB3" w:rsidRPr="00F13BB1">
        <w:rPr>
          <w:sz w:val="24"/>
          <w:szCs w:val="24"/>
        </w:rPr>
        <w:t xml:space="preserve">e </w:t>
      </w:r>
      <w:r w:rsidR="00973C80" w:rsidRPr="00F13BB1">
        <w:rPr>
          <w:sz w:val="24"/>
          <w:szCs w:val="24"/>
        </w:rPr>
        <w:t xml:space="preserve">geographical data </w:t>
      </w:r>
      <w:r w:rsidR="00B1710A" w:rsidRPr="00F13BB1">
        <w:rPr>
          <w:sz w:val="24"/>
          <w:szCs w:val="24"/>
        </w:rPr>
        <w:t>to i</w:t>
      </w:r>
      <w:r w:rsidR="00973C80" w:rsidRPr="00F13BB1">
        <w:rPr>
          <w:sz w:val="24"/>
          <w:szCs w:val="24"/>
        </w:rPr>
        <w:t xml:space="preserve">nfer </w:t>
      </w:r>
      <w:r w:rsidR="00B1710A" w:rsidRPr="00F13BB1">
        <w:rPr>
          <w:sz w:val="24"/>
          <w:szCs w:val="24"/>
        </w:rPr>
        <w:t xml:space="preserve">farmers’ </w:t>
      </w:r>
      <w:r w:rsidR="00973C80" w:rsidRPr="00F13BB1">
        <w:rPr>
          <w:sz w:val="24"/>
          <w:szCs w:val="24"/>
        </w:rPr>
        <w:t xml:space="preserve">networks from </w:t>
      </w:r>
      <w:r w:rsidR="00B1710A" w:rsidRPr="00F13BB1">
        <w:rPr>
          <w:sz w:val="24"/>
          <w:szCs w:val="24"/>
        </w:rPr>
        <w:t xml:space="preserve">their spatial </w:t>
      </w:r>
      <w:r w:rsidR="004A659C">
        <w:rPr>
          <w:sz w:val="24"/>
          <w:szCs w:val="24"/>
        </w:rPr>
        <w:t>neighbours</w:t>
      </w:r>
      <w:r w:rsidR="00CF6AB3" w:rsidRPr="00F13BB1">
        <w:rPr>
          <w:sz w:val="24"/>
          <w:szCs w:val="24"/>
        </w:rPr>
        <w:t xml:space="preserve">; despite discussing justifications for this at length, the validity of the </w:t>
      </w:r>
      <w:r w:rsidR="00CF6AB3" w:rsidRPr="00F13BB1">
        <w:rPr>
          <w:sz w:val="24"/>
          <w:szCs w:val="24"/>
        </w:rPr>
        <w:lastRenderedPageBreak/>
        <w:t xml:space="preserve">approach </w:t>
      </w:r>
      <w:r w:rsidR="00DA1B1A" w:rsidRPr="00F13BB1">
        <w:rPr>
          <w:sz w:val="24"/>
          <w:szCs w:val="24"/>
        </w:rPr>
        <w:t>is contestable</w:t>
      </w:r>
      <w:r w:rsidR="00CF6AB3" w:rsidRPr="00F13BB1">
        <w:rPr>
          <w:sz w:val="24"/>
          <w:szCs w:val="24"/>
        </w:rPr>
        <w:t xml:space="preserve">. </w:t>
      </w:r>
      <w:r w:rsidR="00C46959" w:rsidRPr="00F13BB1">
        <w:rPr>
          <w:sz w:val="24"/>
          <w:szCs w:val="24"/>
        </w:rPr>
        <w:t>N</w:t>
      </w:r>
      <w:r w:rsidR="00890B13" w:rsidRPr="00F13BB1">
        <w:rPr>
          <w:sz w:val="24"/>
          <w:szCs w:val="24"/>
        </w:rPr>
        <w:t xml:space="preserve">etwork effects on technology adoption </w:t>
      </w:r>
      <w:r w:rsidR="00C46959" w:rsidRPr="00F13BB1">
        <w:rPr>
          <w:sz w:val="24"/>
          <w:szCs w:val="24"/>
        </w:rPr>
        <w:t xml:space="preserve">are modelled </w:t>
      </w:r>
      <w:r w:rsidR="00890B13" w:rsidRPr="00F13BB1">
        <w:rPr>
          <w:sz w:val="24"/>
          <w:szCs w:val="24"/>
        </w:rPr>
        <w:t>by</w:t>
      </w:r>
      <w:r w:rsidR="00CF3BC2" w:rsidRPr="00F13BB1">
        <w:rPr>
          <w:sz w:val="24"/>
          <w:szCs w:val="24"/>
        </w:rPr>
        <w:t xml:space="preserve"> regressing </w:t>
      </w:r>
      <w:r w:rsidR="00C46959" w:rsidRPr="00F13BB1">
        <w:rPr>
          <w:sz w:val="24"/>
          <w:szCs w:val="24"/>
        </w:rPr>
        <w:t xml:space="preserve">individual farmers’ </w:t>
      </w:r>
      <w:r w:rsidR="00CF3BC2" w:rsidRPr="00F13BB1">
        <w:rPr>
          <w:sz w:val="24"/>
          <w:szCs w:val="24"/>
        </w:rPr>
        <w:t xml:space="preserve">adoption against the proportion of </w:t>
      </w:r>
      <w:r w:rsidR="00C46959" w:rsidRPr="00F13BB1">
        <w:rPr>
          <w:sz w:val="24"/>
          <w:szCs w:val="24"/>
        </w:rPr>
        <w:t>the</w:t>
      </w:r>
      <w:r w:rsidR="00CF3BC2" w:rsidRPr="00F13BB1">
        <w:rPr>
          <w:sz w:val="24"/>
          <w:szCs w:val="24"/>
        </w:rPr>
        <w:t xml:space="preserve"> farmer’s</w:t>
      </w:r>
      <w:r w:rsidR="00E672C2" w:rsidRPr="00F13BB1">
        <w:rPr>
          <w:sz w:val="24"/>
          <w:szCs w:val="24"/>
        </w:rPr>
        <w:t xml:space="preserve"> direct</w:t>
      </w:r>
      <w:r w:rsidR="00CF3BC2" w:rsidRPr="00F13BB1">
        <w:rPr>
          <w:sz w:val="24"/>
          <w:szCs w:val="24"/>
        </w:rPr>
        <w:t xml:space="preserve"> neighbours</w:t>
      </w:r>
      <w:r w:rsidR="00B6591E" w:rsidRPr="00F13BB1">
        <w:rPr>
          <w:rStyle w:val="FootnoteReference"/>
          <w:sz w:val="24"/>
          <w:szCs w:val="24"/>
        </w:rPr>
        <w:footnoteReference w:id="6"/>
      </w:r>
      <w:r w:rsidR="00CF3BC2" w:rsidRPr="00F13BB1">
        <w:rPr>
          <w:sz w:val="24"/>
          <w:szCs w:val="24"/>
        </w:rPr>
        <w:t xml:space="preserve"> adopting technology</w:t>
      </w:r>
      <w:r w:rsidR="00C41CCD" w:rsidRPr="00F13BB1">
        <w:rPr>
          <w:sz w:val="24"/>
          <w:szCs w:val="24"/>
        </w:rPr>
        <w:t>,</w:t>
      </w:r>
      <w:r w:rsidR="00890B13" w:rsidRPr="00F13BB1">
        <w:rPr>
          <w:sz w:val="24"/>
          <w:szCs w:val="24"/>
        </w:rPr>
        <w:t xml:space="preserve"> c</w:t>
      </w:r>
      <w:r w:rsidR="00FF4216" w:rsidRPr="00F13BB1">
        <w:rPr>
          <w:sz w:val="24"/>
          <w:szCs w:val="24"/>
        </w:rPr>
        <w:t>ontrolling for farmer</w:t>
      </w:r>
      <w:r w:rsidR="003F0326" w:rsidRPr="00F13BB1">
        <w:rPr>
          <w:sz w:val="24"/>
          <w:szCs w:val="24"/>
        </w:rPr>
        <w:t>/household</w:t>
      </w:r>
      <w:r w:rsidR="00580977">
        <w:rPr>
          <w:sz w:val="24"/>
          <w:szCs w:val="24"/>
        </w:rPr>
        <w:t xml:space="preserve"> and village</w:t>
      </w:r>
      <w:r w:rsidR="00FF4216" w:rsidRPr="00F13BB1">
        <w:rPr>
          <w:sz w:val="24"/>
          <w:szCs w:val="24"/>
        </w:rPr>
        <w:t xml:space="preserve"> traits</w:t>
      </w:r>
      <w:r w:rsidR="007D5424" w:rsidRPr="00F13BB1">
        <w:rPr>
          <w:sz w:val="24"/>
          <w:szCs w:val="24"/>
        </w:rPr>
        <w:t xml:space="preserve">, </w:t>
      </w:r>
      <w:r w:rsidR="00FF4216" w:rsidRPr="00F13BB1">
        <w:rPr>
          <w:sz w:val="24"/>
          <w:szCs w:val="24"/>
        </w:rPr>
        <w:t>and extension exposure</w:t>
      </w:r>
      <w:r w:rsidR="00F3466B" w:rsidRPr="00F13BB1">
        <w:rPr>
          <w:sz w:val="24"/>
          <w:szCs w:val="24"/>
        </w:rPr>
        <w:t>.</w:t>
      </w:r>
      <w:r w:rsidR="00EF6FBA" w:rsidRPr="00F13BB1">
        <w:rPr>
          <w:sz w:val="24"/>
          <w:szCs w:val="24"/>
        </w:rPr>
        <w:t xml:space="preserve"> T</w:t>
      </w:r>
      <w:r w:rsidR="00B662BC" w:rsidRPr="00F13BB1">
        <w:rPr>
          <w:sz w:val="24"/>
          <w:szCs w:val="24"/>
        </w:rPr>
        <w:t>he influence of</w:t>
      </w:r>
      <w:r w:rsidR="00E45898" w:rsidRPr="00F13BB1">
        <w:rPr>
          <w:sz w:val="24"/>
          <w:szCs w:val="24"/>
        </w:rPr>
        <w:t xml:space="preserve"> </w:t>
      </w:r>
      <w:r w:rsidR="00263C85" w:rsidRPr="00F13BB1">
        <w:rPr>
          <w:sz w:val="24"/>
          <w:szCs w:val="24"/>
        </w:rPr>
        <w:t>neighbours</w:t>
      </w:r>
      <w:r w:rsidR="00E45898" w:rsidRPr="00F13BB1">
        <w:rPr>
          <w:sz w:val="24"/>
          <w:szCs w:val="24"/>
        </w:rPr>
        <w:t>’</w:t>
      </w:r>
      <w:r w:rsidR="00263C85" w:rsidRPr="00F13BB1">
        <w:rPr>
          <w:sz w:val="24"/>
          <w:szCs w:val="24"/>
        </w:rPr>
        <w:t xml:space="preserve"> adopti</w:t>
      </w:r>
      <w:r w:rsidR="00E45898" w:rsidRPr="00F13BB1">
        <w:rPr>
          <w:sz w:val="24"/>
          <w:szCs w:val="24"/>
        </w:rPr>
        <w:t xml:space="preserve">on </w:t>
      </w:r>
      <w:r w:rsidR="00B662BC" w:rsidRPr="00F13BB1">
        <w:rPr>
          <w:sz w:val="24"/>
          <w:szCs w:val="24"/>
        </w:rPr>
        <w:t>is found to be strong and persistent</w:t>
      </w:r>
      <w:r w:rsidR="00D51599" w:rsidRPr="00F13BB1">
        <w:rPr>
          <w:sz w:val="24"/>
          <w:szCs w:val="24"/>
        </w:rPr>
        <w:t xml:space="preserve"> up t</w:t>
      </w:r>
      <w:r w:rsidR="00F25E56" w:rsidRPr="00F13BB1">
        <w:rPr>
          <w:sz w:val="24"/>
          <w:szCs w:val="24"/>
        </w:rPr>
        <w:t>ill when</w:t>
      </w:r>
      <w:r w:rsidR="00D51599" w:rsidRPr="00F13BB1">
        <w:rPr>
          <w:sz w:val="24"/>
          <w:szCs w:val="24"/>
        </w:rPr>
        <w:t xml:space="preserve"> 70% </w:t>
      </w:r>
      <w:r w:rsidR="00F25E56" w:rsidRPr="00F13BB1">
        <w:rPr>
          <w:sz w:val="24"/>
          <w:szCs w:val="24"/>
        </w:rPr>
        <w:t xml:space="preserve">of the </w:t>
      </w:r>
      <w:r w:rsidR="00D51599" w:rsidRPr="00F13BB1">
        <w:rPr>
          <w:i/>
          <w:iCs/>
          <w:sz w:val="24"/>
          <w:szCs w:val="24"/>
        </w:rPr>
        <w:t>village</w:t>
      </w:r>
      <w:r w:rsidR="00D51599" w:rsidRPr="00F13BB1">
        <w:rPr>
          <w:sz w:val="24"/>
          <w:szCs w:val="24"/>
        </w:rPr>
        <w:t xml:space="preserve"> adopt</w:t>
      </w:r>
      <w:r w:rsidR="00F25E56" w:rsidRPr="00F13BB1">
        <w:rPr>
          <w:sz w:val="24"/>
          <w:szCs w:val="24"/>
        </w:rPr>
        <w:t>s</w:t>
      </w:r>
      <w:r w:rsidR="00D51599" w:rsidRPr="00F13BB1">
        <w:rPr>
          <w:sz w:val="24"/>
          <w:szCs w:val="24"/>
        </w:rPr>
        <w:t>,</w:t>
      </w:r>
      <w:r w:rsidR="00551375" w:rsidRPr="00F13BB1">
        <w:rPr>
          <w:sz w:val="24"/>
          <w:szCs w:val="24"/>
        </w:rPr>
        <w:t xml:space="preserve"> beyond which network effects decrease</w:t>
      </w:r>
      <w:r w:rsidR="003E0948" w:rsidRPr="00F13BB1">
        <w:rPr>
          <w:sz w:val="24"/>
          <w:szCs w:val="24"/>
        </w:rPr>
        <w:t>. While</w:t>
      </w:r>
      <w:r w:rsidR="00182412" w:rsidRPr="00F13BB1">
        <w:rPr>
          <w:sz w:val="24"/>
          <w:szCs w:val="24"/>
        </w:rPr>
        <w:t xml:space="preserve"> </w:t>
      </w:r>
      <w:r w:rsidR="00EF6FBA" w:rsidRPr="00F13BB1">
        <w:rPr>
          <w:sz w:val="24"/>
          <w:szCs w:val="24"/>
        </w:rPr>
        <w:t xml:space="preserve">this </w:t>
      </w:r>
      <w:r w:rsidR="007C671D" w:rsidRPr="00F13BB1">
        <w:rPr>
          <w:sz w:val="24"/>
          <w:szCs w:val="24"/>
        </w:rPr>
        <w:t>confirms</w:t>
      </w:r>
      <w:r w:rsidR="00EF6FBA" w:rsidRPr="00F13BB1">
        <w:rPr>
          <w:sz w:val="24"/>
          <w:szCs w:val="24"/>
        </w:rPr>
        <w:t xml:space="preserve"> the</w:t>
      </w:r>
      <w:r w:rsidR="007C671D" w:rsidRPr="00F13BB1">
        <w:rPr>
          <w:sz w:val="24"/>
          <w:szCs w:val="24"/>
        </w:rPr>
        <w:t xml:space="preserve"> </w:t>
      </w:r>
      <w:r w:rsidR="00EF6FBA" w:rsidRPr="00F13BB1">
        <w:rPr>
          <w:sz w:val="24"/>
          <w:szCs w:val="24"/>
        </w:rPr>
        <w:t xml:space="preserve">presence </w:t>
      </w:r>
      <w:r w:rsidR="007C671D" w:rsidRPr="00F13BB1">
        <w:rPr>
          <w:sz w:val="24"/>
          <w:szCs w:val="24"/>
        </w:rPr>
        <w:t>of</w:t>
      </w:r>
      <w:r w:rsidR="00EF6FBA" w:rsidRPr="00F13BB1">
        <w:rPr>
          <w:sz w:val="24"/>
          <w:szCs w:val="24"/>
        </w:rPr>
        <w:t xml:space="preserve"> n</w:t>
      </w:r>
      <w:r w:rsidR="00AE6A29" w:rsidRPr="00F13BB1">
        <w:rPr>
          <w:sz w:val="24"/>
          <w:szCs w:val="24"/>
        </w:rPr>
        <w:t xml:space="preserve">etwork </w:t>
      </w:r>
      <w:r w:rsidR="00080DE7" w:rsidRPr="00F13BB1">
        <w:rPr>
          <w:sz w:val="24"/>
          <w:szCs w:val="24"/>
        </w:rPr>
        <w:t>effects</w:t>
      </w:r>
      <w:r w:rsidR="00B662BC" w:rsidRPr="00F13BB1">
        <w:rPr>
          <w:sz w:val="24"/>
          <w:szCs w:val="24"/>
        </w:rPr>
        <w:t xml:space="preserve">, </w:t>
      </w:r>
      <w:r w:rsidR="00527DF1" w:rsidRPr="00F13BB1">
        <w:rPr>
          <w:sz w:val="24"/>
          <w:szCs w:val="24"/>
        </w:rPr>
        <w:t>the</w:t>
      </w:r>
      <w:r w:rsidR="00B662BC" w:rsidRPr="00F13BB1">
        <w:rPr>
          <w:sz w:val="24"/>
          <w:szCs w:val="24"/>
        </w:rPr>
        <w:t xml:space="preserve"> </w:t>
      </w:r>
      <w:r w:rsidR="00C5632A" w:rsidRPr="00F13BB1">
        <w:rPr>
          <w:sz w:val="24"/>
          <w:szCs w:val="24"/>
        </w:rPr>
        <w:t>study</w:t>
      </w:r>
      <w:r w:rsidR="00EF6FBA" w:rsidRPr="00F13BB1">
        <w:rPr>
          <w:sz w:val="24"/>
          <w:szCs w:val="24"/>
        </w:rPr>
        <w:t xml:space="preserve"> say</w:t>
      </w:r>
      <w:r w:rsidR="00D96517" w:rsidRPr="00F13BB1">
        <w:rPr>
          <w:sz w:val="24"/>
          <w:szCs w:val="24"/>
        </w:rPr>
        <w:t>s</w:t>
      </w:r>
      <w:r w:rsidR="00080DE7" w:rsidRPr="00F13BB1">
        <w:rPr>
          <w:sz w:val="24"/>
          <w:szCs w:val="24"/>
        </w:rPr>
        <w:t xml:space="preserve"> little about</w:t>
      </w:r>
      <w:r w:rsidR="0021418E" w:rsidRPr="00F13BB1">
        <w:rPr>
          <w:sz w:val="24"/>
          <w:szCs w:val="24"/>
        </w:rPr>
        <w:t xml:space="preserve"> </w:t>
      </w:r>
      <w:r w:rsidR="0021418E" w:rsidRPr="00F13BB1">
        <w:rPr>
          <w:i/>
          <w:iCs/>
          <w:sz w:val="24"/>
          <w:szCs w:val="24"/>
        </w:rPr>
        <w:t>when</w:t>
      </w:r>
      <w:r w:rsidR="0021418E" w:rsidRPr="00F13BB1">
        <w:rPr>
          <w:sz w:val="24"/>
          <w:szCs w:val="24"/>
        </w:rPr>
        <w:t xml:space="preserve"> network effects occur and </w:t>
      </w:r>
      <w:r w:rsidR="009E4490" w:rsidRPr="00F13BB1">
        <w:rPr>
          <w:sz w:val="24"/>
          <w:szCs w:val="24"/>
        </w:rPr>
        <w:t>practically</w:t>
      </w:r>
      <w:r w:rsidR="0021418E" w:rsidRPr="00F13BB1">
        <w:rPr>
          <w:sz w:val="24"/>
          <w:szCs w:val="24"/>
        </w:rPr>
        <w:t xml:space="preserve"> nothing about </w:t>
      </w:r>
      <w:r w:rsidR="0021418E" w:rsidRPr="00F13BB1">
        <w:rPr>
          <w:i/>
          <w:iCs/>
          <w:sz w:val="24"/>
          <w:szCs w:val="24"/>
        </w:rPr>
        <w:t>how</w:t>
      </w:r>
      <w:r w:rsidR="0021418E" w:rsidRPr="00F13BB1">
        <w:rPr>
          <w:sz w:val="24"/>
          <w:szCs w:val="24"/>
        </w:rPr>
        <w:t xml:space="preserve"> they</w:t>
      </w:r>
      <w:r w:rsidR="00080DE7" w:rsidRPr="00F13BB1">
        <w:rPr>
          <w:sz w:val="24"/>
          <w:szCs w:val="24"/>
        </w:rPr>
        <w:t xml:space="preserve"> operate</w:t>
      </w:r>
      <w:r w:rsidR="00641595" w:rsidRPr="00F13BB1">
        <w:rPr>
          <w:sz w:val="24"/>
          <w:szCs w:val="24"/>
        </w:rPr>
        <w:t xml:space="preserve">. </w:t>
      </w:r>
    </w:p>
    <w:p w14:paraId="617CD6EF" w14:textId="36C8A4E4" w:rsidR="00F069AA" w:rsidRPr="00F13BB1" w:rsidRDefault="0035665E" w:rsidP="007A3187">
      <w:pPr>
        <w:spacing w:line="480" w:lineRule="auto"/>
        <w:rPr>
          <w:sz w:val="24"/>
          <w:szCs w:val="24"/>
        </w:rPr>
      </w:pPr>
      <w:r w:rsidRPr="00F13BB1">
        <w:rPr>
          <w:sz w:val="24"/>
          <w:szCs w:val="24"/>
        </w:rPr>
        <w:fldChar w:fldCharType="begin"/>
      </w:r>
      <w:r w:rsidRPr="00F13BB1">
        <w:rPr>
          <w:sz w:val="24"/>
          <w:szCs w:val="24"/>
        </w:rPr>
        <w:instrText xml:space="preserve"> ADDIN ZOTERO_ITEM CSL_CITATION {"citationID":"x3kvVuHp","properties":{"formattedCitation":"(Maertens, 2017)","plainCitation":"(Maertens, 2017)","noteIndex":0},"citationItems":[{"id":1533,"uris":["http://zotero.org/users/7916616/items/LL6BJMVF"],"itemData":{"id":1533,"type":"article-journal","abstract":"This paper examines the role that social networks play in the adoption process of Bacillus thurigiensis (Bt) cotton, a type of genetically engineered cotton that has been available on the Indian market since 2002. Using a unique dataset and empirical methodology, I find that farmers appeared to have exclusively learned from the experimentation of a small set of “progressive” farmers in the village, that is, adoption by other (“regular”) farmers was not considered a useful source of information about the technology. Second, I find evidence of social pressures, originating from the belief that Bt cotton might be hazardous to the environment and livestock, which inhibited adoption, at least for some time.","container-title":"American Journal of Agricultural Economics","DOI":"10.1093/ajae/aaw098","ISSN":"1467-8276","issue":"4","language":"en","note":"_eprint: https://onlinelibrary.wiley.com/doi/pdf/10.1093/ajae/aaw098","page":"988-1007","source":"Wiley Online Library","title":"Who Cares What Others Think (or Do)? Social Learning and Social Pressures in Cotton Farming in India","title-short":"Who Cares What Others Think (or Do)?","URL":"https://onlinelibrary.wiley.com/doi/abs/10.1093/ajae/aaw098","volume":"99","author":[{"family":"Maertens","given":"Annemie"}],"accessed":{"date-parts":[["2022",10,20]]},"issued":{"date-parts":[["2017"]]}}}],"schema":"https://github.com/citation-style-language/schema/raw/master/csl-citation.json"} </w:instrText>
      </w:r>
      <w:r w:rsidRPr="00F13BB1">
        <w:rPr>
          <w:sz w:val="24"/>
          <w:szCs w:val="24"/>
        </w:rPr>
        <w:fldChar w:fldCharType="separate"/>
      </w:r>
      <w:r w:rsidRPr="00F13BB1">
        <w:rPr>
          <w:rFonts w:ascii="Calibri" w:hAnsi="Calibri" w:cs="Calibri"/>
          <w:sz w:val="24"/>
          <w:szCs w:val="24"/>
        </w:rPr>
        <w:t>Maertens (2017)</w:t>
      </w:r>
      <w:r w:rsidRPr="00F13BB1">
        <w:rPr>
          <w:sz w:val="24"/>
          <w:szCs w:val="24"/>
        </w:rPr>
        <w:fldChar w:fldCharType="end"/>
      </w:r>
      <w:r w:rsidRPr="00F13BB1">
        <w:rPr>
          <w:sz w:val="24"/>
          <w:szCs w:val="24"/>
        </w:rPr>
        <w:t xml:space="preserve"> </w:t>
      </w:r>
      <w:r w:rsidR="003E0948" w:rsidRPr="00F13BB1">
        <w:rPr>
          <w:sz w:val="24"/>
          <w:szCs w:val="24"/>
        </w:rPr>
        <w:t xml:space="preserve">adopts a more elaborate version of this approach in studying </w:t>
      </w:r>
      <w:r w:rsidRPr="00F13BB1">
        <w:rPr>
          <w:sz w:val="24"/>
          <w:szCs w:val="24"/>
        </w:rPr>
        <w:t xml:space="preserve">BT cotton adoption in India. </w:t>
      </w:r>
      <w:r w:rsidR="001A3BC7" w:rsidRPr="00F13BB1">
        <w:rPr>
          <w:sz w:val="24"/>
          <w:szCs w:val="24"/>
        </w:rPr>
        <w:t>In seeking to</w:t>
      </w:r>
      <w:r w:rsidR="00967829" w:rsidRPr="00F13BB1">
        <w:rPr>
          <w:sz w:val="24"/>
          <w:szCs w:val="24"/>
        </w:rPr>
        <w:t xml:space="preserve"> go further than </w:t>
      </w:r>
      <w:r w:rsidR="0076240B" w:rsidRPr="00F13BB1">
        <w:rPr>
          <w:sz w:val="24"/>
          <w:szCs w:val="24"/>
        </w:rPr>
        <w:fldChar w:fldCharType="begin"/>
      </w:r>
      <w:r w:rsidR="0076240B" w:rsidRPr="00F13BB1">
        <w:rPr>
          <w:sz w:val="24"/>
          <w:szCs w:val="24"/>
        </w:rPr>
        <w:instrText xml:space="preserve"> ADDIN ZOTERO_ITEM CSL_CITATION {"citationID":"FIqQkiWe","properties":{"formattedCitation":"(Krishnan and Patnam, 2014)","plainCitation":"(Krishnan and Patnam, 2014)","noteIndex":0},"citationItems":[{"id":1630,"uris":["http://zotero.org/users/7916616/items/G6KPPJJW"],"itemData":{"id":1630,"type":"article-journal","abstract":"The increased adoption of fertilizer and improved seeds are two key aspects to raising the level of land productivity in Ethiopian agriculture. However, the adoption and diffusion of such technologies has been slow. We use data from Ethiopia between 1999–2009 to examine the role of learning from extension agents versus learning from neighbors for both improved seeds and fertilizer adoption. We combine farmers’ spatial networks with panel data to identify these inﬂuences, and ﬁnd that while the initial impact of extension agents was high, the effect wore off after some time, in contrast to learning from neighbors.","container-title":"American Journal of Agricultural Economics","DOI":"10.1093/ajae/aat017","ISSN":"0002-9092, 1467-8276","issue":"1","journalAbbreviation":"American Journal of Agricultural Economics","language":"en","page":"308-327","source":"DOI.org (Crossref)","title":"Neighbors and Extension Agents in Ethiopia: Who Matters More for Technology Adoption?","title-short":"Neighbors and Extension Agents in Ethiopia","URL":"https://onlinelibrary.wiley.com/doi/abs/10.1093/ajae/aat017","volume":"96","author":[{"family":"Krishnan","given":"Pramila"},{"family":"Patnam","given":"Manasa"}],"accessed":{"date-parts":[["2022",10,22]]},"issued":{"date-parts":[["2014",1]]}}}],"schema":"https://github.com/citation-style-language/schema/raw/master/csl-citation.json"} </w:instrText>
      </w:r>
      <w:r w:rsidR="0076240B" w:rsidRPr="00F13BB1">
        <w:rPr>
          <w:sz w:val="24"/>
          <w:szCs w:val="24"/>
        </w:rPr>
        <w:fldChar w:fldCharType="separate"/>
      </w:r>
      <w:r w:rsidR="0076240B" w:rsidRPr="00F13BB1">
        <w:rPr>
          <w:rFonts w:ascii="Calibri" w:hAnsi="Calibri" w:cs="Calibri"/>
          <w:sz w:val="24"/>
          <w:szCs w:val="24"/>
        </w:rPr>
        <w:t>Krishnan and Patnam (2014)</w:t>
      </w:r>
      <w:r w:rsidR="0076240B" w:rsidRPr="00F13BB1">
        <w:rPr>
          <w:sz w:val="24"/>
          <w:szCs w:val="24"/>
        </w:rPr>
        <w:fldChar w:fldCharType="end"/>
      </w:r>
      <w:r w:rsidR="00EC4600" w:rsidRPr="00F13BB1">
        <w:rPr>
          <w:sz w:val="24"/>
          <w:szCs w:val="24"/>
        </w:rPr>
        <w:t>, the author</w:t>
      </w:r>
      <w:r w:rsidRPr="00F13BB1">
        <w:rPr>
          <w:sz w:val="24"/>
          <w:szCs w:val="24"/>
        </w:rPr>
        <w:t xml:space="preserve"> </w:t>
      </w:r>
      <w:r w:rsidR="00DB1F79" w:rsidRPr="00F13BB1">
        <w:rPr>
          <w:sz w:val="24"/>
          <w:szCs w:val="24"/>
        </w:rPr>
        <w:t>split</w:t>
      </w:r>
      <w:r w:rsidR="00192119">
        <w:rPr>
          <w:sz w:val="24"/>
          <w:szCs w:val="24"/>
        </w:rPr>
        <w:t>s</w:t>
      </w:r>
      <w:r w:rsidR="00DB1F79" w:rsidRPr="00F13BB1">
        <w:rPr>
          <w:sz w:val="24"/>
          <w:szCs w:val="24"/>
        </w:rPr>
        <w:t xml:space="preserve"> each farmer’s network along two lines</w:t>
      </w:r>
      <w:r w:rsidR="00583C2C" w:rsidRPr="00F13BB1">
        <w:rPr>
          <w:sz w:val="24"/>
          <w:szCs w:val="24"/>
        </w:rPr>
        <w:t xml:space="preserve">; </w:t>
      </w:r>
      <w:r w:rsidR="0072283A" w:rsidRPr="00F13BB1">
        <w:rPr>
          <w:sz w:val="24"/>
          <w:szCs w:val="24"/>
        </w:rPr>
        <w:t>whether the farmer could observe the connection’s farming practices</w:t>
      </w:r>
      <w:r w:rsidR="00583C2C" w:rsidRPr="00F13BB1">
        <w:rPr>
          <w:sz w:val="24"/>
          <w:szCs w:val="24"/>
        </w:rPr>
        <w:t xml:space="preserve">/decision, and whether the connection is </w:t>
      </w:r>
      <w:r w:rsidR="002F28D5" w:rsidRPr="00F13BB1">
        <w:rPr>
          <w:sz w:val="24"/>
          <w:szCs w:val="24"/>
        </w:rPr>
        <w:t>a</w:t>
      </w:r>
      <w:r w:rsidRPr="00F13BB1">
        <w:rPr>
          <w:sz w:val="24"/>
          <w:szCs w:val="24"/>
        </w:rPr>
        <w:t xml:space="preserve"> progressive farmer</w:t>
      </w:r>
      <w:r w:rsidR="003D2808" w:rsidRPr="00F13BB1">
        <w:rPr>
          <w:rStyle w:val="FootnoteReference"/>
          <w:sz w:val="24"/>
          <w:szCs w:val="24"/>
        </w:rPr>
        <w:footnoteReference w:id="7"/>
      </w:r>
      <w:r w:rsidRPr="00F13BB1">
        <w:rPr>
          <w:sz w:val="24"/>
          <w:szCs w:val="24"/>
        </w:rPr>
        <w:t xml:space="preserve">. The proportion of adopters in each grouping - </w:t>
      </w:r>
      <w:r w:rsidR="00BF0C8E" w:rsidRPr="00F13BB1">
        <w:rPr>
          <w:sz w:val="24"/>
          <w:szCs w:val="24"/>
        </w:rPr>
        <w:t>elicited</w:t>
      </w:r>
      <w:r w:rsidRPr="00F13BB1">
        <w:rPr>
          <w:sz w:val="24"/>
          <w:szCs w:val="24"/>
        </w:rPr>
        <w:t xml:space="preserve"> from household</w:t>
      </w:r>
      <w:r w:rsidR="006501BA" w:rsidRPr="00F13BB1">
        <w:rPr>
          <w:sz w:val="24"/>
          <w:szCs w:val="24"/>
        </w:rPr>
        <w:t xml:space="preserve"> and network data</w:t>
      </w:r>
      <w:r w:rsidRPr="00F13BB1">
        <w:rPr>
          <w:sz w:val="24"/>
          <w:szCs w:val="24"/>
        </w:rPr>
        <w:t xml:space="preserve"> – was regressed against</w:t>
      </w:r>
      <w:r w:rsidR="00C4294F" w:rsidRPr="00F13BB1">
        <w:rPr>
          <w:sz w:val="24"/>
          <w:szCs w:val="24"/>
        </w:rPr>
        <w:t xml:space="preserve"> each</w:t>
      </w:r>
      <w:r w:rsidRPr="00F13BB1">
        <w:rPr>
          <w:sz w:val="24"/>
          <w:szCs w:val="24"/>
        </w:rPr>
        <w:t xml:space="preserve"> farmers</w:t>
      </w:r>
      <w:r w:rsidR="006501BA" w:rsidRPr="00F13BB1">
        <w:rPr>
          <w:sz w:val="24"/>
          <w:szCs w:val="24"/>
        </w:rPr>
        <w:t>’</w:t>
      </w:r>
      <w:r w:rsidRPr="00F13BB1">
        <w:rPr>
          <w:sz w:val="24"/>
          <w:szCs w:val="24"/>
        </w:rPr>
        <w:t xml:space="preserve"> BT uptake</w:t>
      </w:r>
      <w:r w:rsidRPr="00F13BB1">
        <w:rPr>
          <w:rStyle w:val="FootnoteReference"/>
          <w:sz w:val="24"/>
          <w:szCs w:val="24"/>
        </w:rPr>
        <w:footnoteReference w:id="8"/>
      </w:r>
      <w:r w:rsidR="00C4294F" w:rsidRPr="00F13BB1">
        <w:rPr>
          <w:sz w:val="24"/>
          <w:szCs w:val="24"/>
        </w:rPr>
        <w:t>,</w:t>
      </w:r>
      <w:r w:rsidRPr="00F13BB1">
        <w:rPr>
          <w:sz w:val="24"/>
          <w:szCs w:val="24"/>
        </w:rPr>
        <w:t xml:space="preserve"> controlling for year effects, farmer traits, and other information sources. </w:t>
      </w:r>
      <w:r w:rsidR="00602BF0" w:rsidRPr="00F13BB1">
        <w:rPr>
          <w:sz w:val="24"/>
          <w:szCs w:val="24"/>
        </w:rPr>
        <w:t xml:space="preserve">The hypothesis that adoption by </w:t>
      </w:r>
      <w:r w:rsidR="003B5E35" w:rsidRPr="00F13BB1">
        <w:rPr>
          <w:sz w:val="24"/>
          <w:szCs w:val="24"/>
        </w:rPr>
        <w:t>progressive farmers</w:t>
      </w:r>
      <w:r w:rsidR="0042217C" w:rsidRPr="00F13BB1">
        <w:rPr>
          <w:sz w:val="24"/>
          <w:szCs w:val="24"/>
        </w:rPr>
        <w:t xml:space="preserve"> </w:t>
      </w:r>
      <w:r w:rsidR="003B5E35" w:rsidRPr="00F13BB1">
        <w:rPr>
          <w:sz w:val="24"/>
          <w:szCs w:val="24"/>
        </w:rPr>
        <w:t>in the learning network decrease</w:t>
      </w:r>
      <w:r w:rsidR="00577729" w:rsidRPr="00F13BB1">
        <w:rPr>
          <w:sz w:val="24"/>
          <w:szCs w:val="24"/>
        </w:rPr>
        <w:t>s</w:t>
      </w:r>
      <w:r w:rsidR="003B5E35" w:rsidRPr="00F13BB1">
        <w:rPr>
          <w:sz w:val="24"/>
          <w:szCs w:val="24"/>
        </w:rPr>
        <w:t xml:space="preserve"> </w:t>
      </w:r>
      <w:r w:rsidR="00A70517" w:rsidRPr="00F13BB1">
        <w:rPr>
          <w:sz w:val="24"/>
          <w:szCs w:val="24"/>
        </w:rPr>
        <w:t xml:space="preserve">the likelihood of a </w:t>
      </w:r>
      <w:r w:rsidR="003B5E35" w:rsidRPr="00F13BB1">
        <w:rPr>
          <w:sz w:val="24"/>
          <w:szCs w:val="24"/>
        </w:rPr>
        <w:t>farmer adoptin</w:t>
      </w:r>
      <w:r w:rsidR="00A70517" w:rsidRPr="00F13BB1">
        <w:rPr>
          <w:sz w:val="24"/>
          <w:szCs w:val="24"/>
        </w:rPr>
        <w:t>g BT cotton</w:t>
      </w:r>
      <w:r w:rsidR="003B5E35" w:rsidRPr="00F13BB1">
        <w:rPr>
          <w:sz w:val="24"/>
          <w:szCs w:val="24"/>
        </w:rPr>
        <w:t xml:space="preserve"> is corroborated by results, being explain</w:t>
      </w:r>
      <w:r w:rsidR="00232F15" w:rsidRPr="00F13BB1">
        <w:rPr>
          <w:sz w:val="24"/>
          <w:szCs w:val="24"/>
        </w:rPr>
        <w:t>ed</w:t>
      </w:r>
      <w:r w:rsidR="003B5E35" w:rsidRPr="00F13BB1">
        <w:rPr>
          <w:sz w:val="24"/>
          <w:szCs w:val="24"/>
        </w:rPr>
        <w:t xml:space="preserve"> on the basis of strategic </w:t>
      </w:r>
      <w:r w:rsidR="009137ED" w:rsidRPr="00F13BB1">
        <w:rPr>
          <w:sz w:val="24"/>
          <w:szCs w:val="24"/>
        </w:rPr>
        <w:t>delays</w:t>
      </w:r>
      <w:r w:rsidR="00232F15" w:rsidRPr="00F13BB1">
        <w:rPr>
          <w:sz w:val="24"/>
          <w:szCs w:val="24"/>
        </w:rPr>
        <w:t xml:space="preserve"> by farmers</w:t>
      </w:r>
      <w:r w:rsidR="009137ED" w:rsidRPr="00F13BB1">
        <w:rPr>
          <w:sz w:val="24"/>
          <w:szCs w:val="24"/>
        </w:rPr>
        <w:t xml:space="preserve"> to </w:t>
      </w:r>
      <w:r w:rsidR="00F21C0C" w:rsidRPr="00F13BB1">
        <w:rPr>
          <w:sz w:val="24"/>
          <w:szCs w:val="24"/>
        </w:rPr>
        <w:t xml:space="preserve">freeride on </w:t>
      </w:r>
      <w:r w:rsidR="009137ED" w:rsidRPr="00F13BB1">
        <w:rPr>
          <w:sz w:val="24"/>
          <w:szCs w:val="24"/>
        </w:rPr>
        <w:t>other</w:t>
      </w:r>
      <w:r w:rsidR="00F21C0C" w:rsidRPr="00F13BB1">
        <w:rPr>
          <w:sz w:val="24"/>
          <w:szCs w:val="24"/>
        </w:rPr>
        <w:t xml:space="preserve">s’ </w:t>
      </w:r>
      <w:r w:rsidR="009137ED" w:rsidRPr="00F13BB1">
        <w:rPr>
          <w:sz w:val="24"/>
          <w:szCs w:val="24"/>
        </w:rPr>
        <w:t>experimentation</w:t>
      </w:r>
      <w:r w:rsidR="007B05D9" w:rsidRPr="00F13BB1">
        <w:rPr>
          <w:sz w:val="24"/>
          <w:szCs w:val="24"/>
        </w:rPr>
        <w:t xml:space="preserve">; this provides evidence for </w:t>
      </w:r>
      <w:r w:rsidR="003325E5" w:rsidRPr="00F13BB1">
        <w:rPr>
          <w:sz w:val="24"/>
          <w:szCs w:val="24"/>
        </w:rPr>
        <w:t xml:space="preserve">network effects </w:t>
      </w:r>
      <w:r w:rsidR="0066684E" w:rsidRPr="00F13BB1">
        <w:rPr>
          <w:sz w:val="24"/>
          <w:szCs w:val="24"/>
        </w:rPr>
        <w:t>influencing uptake vi</w:t>
      </w:r>
      <w:r w:rsidR="003325E5" w:rsidRPr="00F13BB1">
        <w:rPr>
          <w:sz w:val="24"/>
          <w:szCs w:val="24"/>
        </w:rPr>
        <w:t>a</w:t>
      </w:r>
      <w:r w:rsidR="0066684E" w:rsidRPr="00F13BB1">
        <w:rPr>
          <w:sz w:val="24"/>
          <w:szCs w:val="24"/>
        </w:rPr>
        <w:t xml:space="preserve"> </w:t>
      </w:r>
      <w:r w:rsidR="003325E5" w:rsidRPr="00F13BB1">
        <w:rPr>
          <w:i/>
          <w:iCs/>
          <w:sz w:val="24"/>
          <w:szCs w:val="24"/>
        </w:rPr>
        <w:t>learning</w:t>
      </w:r>
      <w:r w:rsidR="00B13C08" w:rsidRPr="00F13BB1">
        <w:rPr>
          <w:sz w:val="24"/>
          <w:szCs w:val="24"/>
        </w:rPr>
        <w:t>.</w:t>
      </w:r>
      <w:r w:rsidR="00C24428" w:rsidRPr="00F13BB1">
        <w:rPr>
          <w:sz w:val="24"/>
          <w:szCs w:val="24"/>
        </w:rPr>
        <w:t xml:space="preserve"> </w:t>
      </w:r>
      <w:r w:rsidR="00BE3FB5" w:rsidRPr="00F13BB1">
        <w:rPr>
          <w:sz w:val="24"/>
          <w:szCs w:val="24"/>
        </w:rPr>
        <w:t>Link</w:t>
      </w:r>
      <w:r w:rsidR="00EA57EA" w:rsidRPr="00F13BB1">
        <w:rPr>
          <w:sz w:val="24"/>
          <w:szCs w:val="24"/>
        </w:rPr>
        <w:t>s betw</w:t>
      </w:r>
      <w:r w:rsidR="00717192" w:rsidRPr="00F13BB1">
        <w:rPr>
          <w:sz w:val="24"/>
          <w:szCs w:val="24"/>
        </w:rPr>
        <w:t>een farmer adoption and proportion adoption in non-progressive networks</w:t>
      </w:r>
      <w:r w:rsidR="00B13C08" w:rsidRPr="00F13BB1">
        <w:rPr>
          <w:sz w:val="24"/>
          <w:szCs w:val="24"/>
        </w:rPr>
        <w:t xml:space="preserve"> </w:t>
      </w:r>
      <w:r w:rsidR="00717192" w:rsidRPr="00F13BB1">
        <w:rPr>
          <w:sz w:val="24"/>
          <w:szCs w:val="24"/>
        </w:rPr>
        <w:t>indicate</w:t>
      </w:r>
      <w:r w:rsidR="008F7FF5" w:rsidRPr="00F13BB1">
        <w:rPr>
          <w:sz w:val="24"/>
          <w:szCs w:val="24"/>
        </w:rPr>
        <w:t>d</w:t>
      </w:r>
      <w:r w:rsidR="00572D32" w:rsidRPr="00F13BB1">
        <w:rPr>
          <w:sz w:val="24"/>
          <w:szCs w:val="24"/>
        </w:rPr>
        <w:t xml:space="preserve"> network effects operating via </w:t>
      </w:r>
      <w:r w:rsidR="00572D32" w:rsidRPr="00F13BB1">
        <w:rPr>
          <w:i/>
          <w:iCs/>
          <w:sz w:val="24"/>
          <w:szCs w:val="24"/>
        </w:rPr>
        <w:t>s</w:t>
      </w:r>
      <w:r w:rsidR="00717192" w:rsidRPr="00F13BB1">
        <w:rPr>
          <w:i/>
          <w:iCs/>
          <w:sz w:val="24"/>
          <w:szCs w:val="24"/>
        </w:rPr>
        <w:t>ocial pressure</w:t>
      </w:r>
      <w:r w:rsidR="00572D32" w:rsidRPr="00F13BB1">
        <w:rPr>
          <w:rStyle w:val="FootnoteReference"/>
          <w:sz w:val="24"/>
          <w:szCs w:val="24"/>
        </w:rPr>
        <w:footnoteReference w:id="9"/>
      </w:r>
      <w:r w:rsidR="00717192" w:rsidRPr="00F13BB1">
        <w:rPr>
          <w:sz w:val="24"/>
          <w:szCs w:val="24"/>
        </w:rPr>
        <w:t>,</w:t>
      </w:r>
      <w:r w:rsidR="00C7316D" w:rsidRPr="00F13BB1">
        <w:rPr>
          <w:sz w:val="24"/>
          <w:szCs w:val="24"/>
        </w:rPr>
        <w:t xml:space="preserve"> as</w:t>
      </w:r>
      <w:r w:rsidR="00F1549A" w:rsidRPr="00F13BB1">
        <w:rPr>
          <w:sz w:val="24"/>
          <w:szCs w:val="24"/>
        </w:rPr>
        <w:t xml:space="preserve"> expected, yet evidence for this </w:t>
      </w:r>
      <w:r w:rsidR="00282236" w:rsidRPr="00F13BB1">
        <w:rPr>
          <w:sz w:val="24"/>
          <w:szCs w:val="24"/>
        </w:rPr>
        <w:t xml:space="preserve">was </w:t>
      </w:r>
      <w:r w:rsidR="00F1549A" w:rsidRPr="00F13BB1">
        <w:rPr>
          <w:sz w:val="24"/>
          <w:szCs w:val="24"/>
        </w:rPr>
        <w:t>weaker.</w:t>
      </w:r>
      <w:r w:rsidR="002E1991" w:rsidRPr="00F13BB1">
        <w:rPr>
          <w:sz w:val="24"/>
          <w:szCs w:val="24"/>
        </w:rPr>
        <w:t xml:space="preserve"> Maertens thus</w:t>
      </w:r>
      <w:r w:rsidR="006F30EE" w:rsidRPr="00F13BB1">
        <w:rPr>
          <w:sz w:val="24"/>
          <w:szCs w:val="24"/>
        </w:rPr>
        <w:t xml:space="preserve"> starts to</w:t>
      </w:r>
      <w:r w:rsidR="002E1991" w:rsidRPr="00F13BB1">
        <w:rPr>
          <w:sz w:val="24"/>
          <w:szCs w:val="24"/>
        </w:rPr>
        <w:t xml:space="preserve"> shed light on</w:t>
      </w:r>
      <w:r w:rsidR="00C846AA" w:rsidRPr="00F13BB1">
        <w:rPr>
          <w:sz w:val="24"/>
          <w:szCs w:val="24"/>
        </w:rPr>
        <w:t xml:space="preserve"> </w:t>
      </w:r>
      <w:r w:rsidR="00C846AA" w:rsidRPr="00F13BB1">
        <w:rPr>
          <w:i/>
          <w:iCs/>
          <w:sz w:val="24"/>
          <w:szCs w:val="24"/>
        </w:rPr>
        <w:t>how</w:t>
      </w:r>
      <w:r w:rsidR="00C846AA" w:rsidRPr="00F13BB1">
        <w:rPr>
          <w:sz w:val="24"/>
          <w:szCs w:val="24"/>
        </w:rPr>
        <w:t xml:space="preserve"> network effects work.</w:t>
      </w:r>
      <w:r w:rsidR="0076144A" w:rsidRPr="00F13BB1">
        <w:rPr>
          <w:sz w:val="24"/>
          <w:szCs w:val="24"/>
        </w:rPr>
        <w:t xml:space="preserve"> </w:t>
      </w:r>
    </w:p>
    <w:p w14:paraId="7ED9D2CA" w14:textId="54831073" w:rsidR="00266789" w:rsidRPr="00F13BB1" w:rsidRDefault="00266789" w:rsidP="007A3187">
      <w:pPr>
        <w:spacing w:line="480" w:lineRule="auto"/>
        <w:rPr>
          <w:sz w:val="24"/>
          <w:szCs w:val="24"/>
        </w:rPr>
      </w:pPr>
      <w:r w:rsidRPr="00F13BB1">
        <w:rPr>
          <w:sz w:val="24"/>
          <w:szCs w:val="24"/>
        </w:rPr>
        <w:lastRenderedPageBreak/>
        <w:fldChar w:fldCharType="begin"/>
      </w:r>
      <w:r w:rsidRPr="00F13BB1">
        <w:rPr>
          <w:sz w:val="24"/>
          <w:szCs w:val="24"/>
        </w:rPr>
        <w:instrText xml:space="preserve"> ADDIN ZOTERO_ITEM CSL_CITATION {"citationID":"X4cncAie","properties":{"formattedCitation":"(Varshney {\\i{}et al.}, 2022)","plainCitation":"(Varshney et al., 2022)","noteIndex":0},"citationItems":[{"id":2168,"uris":["http://zotero.org/users/7916616/items/V5CC5732"],"itemData":{"id":2168,"type":"article-journal","abstract":"This study examines the role of caste-based affiliations in the smallholders’ social network interactions for adoption choices. In particular, whether lower-caste, namely Scheduled Castes/Scheduled Tribes, farmers rely more on social networks for information than their counterparts. We further explore whether social network effects are more pronounced when farmers interact within their caste than otherwise. Finally, the study tests whether the effects (intra-caste and inter-caste) vary by caste—SC/ST versus non-SC/ST farmers. The study uses a survey of 478 mustard farmers in Rajasthan, India. Econometric concerns related to unobserved heterogeneity are addressed by employing specifications with village fixed effects and a series of robustness tests. Simultaneity concerns are addressed by analyzing the social network effects in a dynamic adoption framework. Results show that the adoption choices regarding hybrid mustard seeds are more pronounced for the lower-caste farmers than for their counterparts. Findings reveal that social network effects are significant in intra-caste but not in the case of inter-caste. Finally, the result shows that the likelihood of accepting advice in technology adoption is higher when SC/ST farmers interact with non-SC/ST network members than when non-SC/ST farmers interact with SC/ST network members.","container-title":"Food Policy","DOI":"10.1016/j.foodpol.2022.102360","ISSN":"0306-9192","journalAbbreviation":"Food Policy","language":"en","page":"102360","source":"ScienceDirect","title":"Social networks, heterogeneity, and adoption of technologies: Evidence from India","title-short":"Social networks, heterogeneity, and adoption of technologies","URL":"https://www.sciencedirect.com/science/article/pii/S0306919222001294","volume":"112","author":[{"family":"Varshney","given":"Deepak"},{"family":"Mishra","given":"Ashok K."},{"family":"Joshi","given":"Pramod K."},{"family":"Roy","given":"Devesh"}],"accessed":{"date-parts":[["2022",10,27]]},"issued":{"date-parts":[["2022",10,1]]}}}],"schema":"https://github.com/citation-style-language/schema/raw/master/csl-citation.json"} </w:instrText>
      </w:r>
      <w:r w:rsidRPr="00F13BB1">
        <w:rPr>
          <w:sz w:val="24"/>
          <w:szCs w:val="24"/>
        </w:rPr>
        <w:fldChar w:fldCharType="separate"/>
      </w:r>
      <w:r w:rsidRPr="00F13BB1">
        <w:rPr>
          <w:rFonts w:ascii="Calibri" w:hAnsi="Calibri" w:cs="Calibri"/>
          <w:sz w:val="24"/>
          <w:szCs w:val="24"/>
        </w:rPr>
        <w:t xml:space="preserve">Varshney </w:t>
      </w:r>
      <w:r w:rsidRPr="00F13BB1">
        <w:rPr>
          <w:rFonts w:ascii="Calibri" w:hAnsi="Calibri" w:cs="Calibri"/>
          <w:i/>
          <w:iCs/>
          <w:sz w:val="24"/>
          <w:szCs w:val="24"/>
        </w:rPr>
        <w:t>et al.</w:t>
      </w:r>
      <w:r w:rsidRPr="00F13BB1">
        <w:rPr>
          <w:rFonts w:ascii="Calibri" w:hAnsi="Calibri" w:cs="Calibri"/>
          <w:sz w:val="24"/>
          <w:szCs w:val="24"/>
        </w:rPr>
        <w:t xml:space="preserve"> (2022)</w:t>
      </w:r>
      <w:r w:rsidRPr="00F13BB1">
        <w:rPr>
          <w:sz w:val="24"/>
          <w:szCs w:val="24"/>
        </w:rPr>
        <w:fldChar w:fldCharType="end"/>
      </w:r>
      <w:r w:rsidR="00D30532" w:rsidRPr="00F13BB1">
        <w:rPr>
          <w:sz w:val="24"/>
          <w:szCs w:val="24"/>
        </w:rPr>
        <w:t xml:space="preserve"> adopt a similar approach in</w:t>
      </w:r>
      <w:r w:rsidRPr="00F13BB1">
        <w:rPr>
          <w:sz w:val="24"/>
          <w:szCs w:val="24"/>
        </w:rPr>
        <w:t xml:space="preserve"> </w:t>
      </w:r>
      <w:r w:rsidR="00783AE9" w:rsidRPr="00F13BB1">
        <w:rPr>
          <w:sz w:val="24"/>
          <w:szCs w:val="24"/>
        </w:rPr>
        <w:t>exploring</w:t>
      </w:r>
      <w:r w:rsidRPr="00F13BB1">
        <w:rPr>
          <w:sz w:val="24"/>
          <w:szCs w:val="24"/>
        </w:rPr>
        <w:t xml:space="preserve"> how network effects vary with </w:t>
      </w:r>
      <w:r w:rsidR="00452102" w:rsidRPr="00F13BB1">
        <w:rPr>
          <w:sz w:val="24"/>
          <w:szCs w:val="24"/>
        </w:rPr>
        <w:t>farmer and network</w:t>
      </w:r>
      <w:r w:rsidRPr="00F13BB1">
        <w:rPr>
          <w:sz w:val="24"/>
          <w:szCs w:val="24"/>
        </w:rPr>
        <w:t xml:space="preserve"> traits. Given the focus on mustard production in India, caste-based heterogeneities are </w:t>
      </w:r>
      <w:r w:rsidR="00060315" w:rsidRPr="00F13BB1">
        <w:rPr>
          <w:sz w:val="24"/>
          <w:szCs w:val="24"/>
        </w:rPr>
        <w:t>focussed on</w:t>
      </w:r>
      <w:r w:rsidRPr="00F13BB1">
        <w:rPr>
          <w:sz w:val="24"/>
          <w:szCs w:val="24"/>
        </w:rPr>
        <w:t xml:space="preserve">, yet such an approach is appropriate in other communities experiencing social/ethnic/racial cleavages. </w:t>
      </w:r>
      <w:r w:rsidR="00236273" w:rsidRPr="00F13BB1">
        <w:rPr>
          <w:sz w:val="24"/>
          <w:szCs w:val="24"/>
        </w:rPr>
        <w:t xml:space="preserve">Using household and network data, </w:t>
      </w:r>
      <w:r w:rsidR="009C20A1" w:rsidRPr="00F13BB1">
        <w:rPr>
          <w:sz w:val="24"/>
          <w:szCs w:val="24"/>
        </w:rPr>
        <w:t xml:space="preserve">the </w:t>
      </w:r>
      <w:r w:rsidR="009C20A1" w:rsidRPr="00F13BB1">
        <w:rPr>
          <w:i/>
          <w:iCs/>
          <w:sz w:val="24"/>
          <w:szCs w:val="24"/>
        </w:rPr>
        <w:t>number of</w:t>
      </w:r>
      <w:r w:rsidR="009C20A1" w:rsidRPr="00F13BB1">
        <w:rPr>
          <w:sz w:val="24"/>
          <w:szCs w:val="24"/>
        </w:rPr>
        <w:t xml:space="preserve"> </w:t>
      </w:r>
      <w:r w:rsidR="00AC5EDC" w:rsidRPr="00F13BB1">
        <w:rPr>
          <w:sz w:val="24"/>
          <w:szCs w:val="24"/>
        </w:rPr>
        <w:t>adopters</w:t>
      </w:r>
      <w:r w:rsidR="00AC5EDC" w:rsidRPr="00F13BB1">
        <w:rPr>
          <w:rStyle w:val="FootnoteReference"/>
          <w:sz w:val="24"/>
          <w:szCs w:val="24"/>
        </w:rPr>
        <w:footnoteReference w:id="10"/>
      </w:r>
      <w:r w:rsidR="00060315" w:rsidRPr="00F13BB1">
        <w:rPr>
          <w:sz w:val="24"/>
          <w:szCs w:val="24"/>
        </w:rPr>
        <w:t xml:space="preserve"> </w:t>
      </w:r>
      <w:r w:rsidR="009C20A1" w:rsidRPr="00F13BB1">
        <w:rPr>
          <w:sz w:val="24"/>
          <w:szCs w:val="24"/>
        </w:rPr>
        <w:t>in different castes in the farmers</w:t>
      </w:r>
      <w:r w:rsidR="00A76AAD" w:rsidRPr="00F13BB1">
        <w:rPr>
          <w:sz w:val="24"/>
          <w:szCs w:val="24"/>
        </w:rPr>
        <w:t>’</w:t>
      </w:r>
      <w:r w:rsidR="009C20A1" w:rsidRPr="00F13BB1">
        <w:rPr>
          <w:sz w:val="24"/>
          <w:szCs w:val="24"/>
        </w:rPr>
        <w:t xml:space="preserve"> network</w:t>
      </w:r>
      <w:r w:rsidR="00236273" w:rsidRPr="00F13BB1">
        <w:rPr>
          <w:sz w:val="24"/>
          <w:szCs w:val="24"/>
        </w:rPr>
        <w:t xml:space="preserve">, </w:t>
      </w:r>
      <w:r w:rsidR="00A76AAD" w:rsidRPr="00F13BB1">
        <w:rPr>
          <w:sz w:val="24"/>
          <w:szCs w:val="24"/>
        </w:rPr>
        <w:t>farmers’ own cast</w:t>
      </w:r>
      <w:r w:rsidR="00333DF8" w:rsidRPr="00F13BB1">
        <w:rPr>
          <w:sz w:val="24"/>
          <w:szCs w:val="24"/>
        </w:rPr>
        <w:t xml:space="preserve">, </w:t>
      </w:r>
      <w:r w:rsidR="00236273" w:rsidRPr="00F13BB1">
        <w:rPr>
          <w:sz w:val="24"/>
          <w:szCs w:val="24"/>
        </w:rPr>
        <w:t>and an interaction of the two</w:t>
      </w:r>
      <w:r w:rsidR="00696F23" w:rsidRPr="00F13BB1">
        <w:rPr>
          <w:sz w:val="24"/>
          <w:szCs w:val="24"/>
        </w:rPr>
        <w:t xml:space="preserve"> are regressed</w:t>
      </w:r>
      <w:r w:rsidR="0032547E" w:rsidRPr="00F13BB1">
        <w:rPr>
          <w:sz w:val="24"/>
          <w:szCs w:val="24"/>
          <w:vertAlign w:val="superscript"/>
        </w:rPr>
        <w:t>8</w:t>
      </w:r>
      <w:r w:rsidR="00696F23" w:rsidRPr="00F13BB1">
        <w:rPr>
          <w:sz w:val="24"/>
          <w:szCs w:val="24"/>
        </w:rPr>
        <w:t xml:space="preserve"> against each farmer’s adoption of hybrid mustard</w:t>
      </w:r>
      <w:r w:rsidR="00236273" w:rsidRPr="00F13BB1">
        <w:rPr>
          <w:sz w:val="24"/>
          <w:szCs w:val="24"/>
        </w:rPr>
        <w:t xml:space="preserve">, </w:t>
      </w:r>
      <w:r w:rsidR="00225D10" w:rsidRPr="00F13BB1">
        <w:rPr>
          <w:sz w:val="24"/>
          <w:szCs w:val="24"/>
        </w:rPr>
        <w:t>controlling</w:t>
      </w:r>
      <w:r w:rsidR="00333DF8" w:rsidRPr="00F13BB1">
        <w:rPr>
          <w:sz w:val="24"/>
          <w:szCs w:val="24"/>
        </w:rPr>
        <w:t xml:space="preserve"> for village and farmer traits.</w:t>
      </w:r>
      <w:r w:rsidR="00C3730A" w:rsidRPr="00F13BB1">
        <w:rPr>
          <w:sz w:val="24"/>
          <w:szCs w:val="24"/>
        </w:rPr>
        <w:t xml:space="preserve"> </w:t>
      </w:r>
      <w:r w:rsidR="006E0ED9" w:rsidRPr="00F13BB1">
        <w:rPr>
          <w:sz w:val="24"/>
          <w:szCs w:val="24"/>
        </w:rPr>
        <w:t>There is clear evidence of network effects, albeit not via social pressure</w:t>
      </w:r>
      <w:r w:rsidR="00FC6CC4" w:rsidRPr="00F13BB1">
        <w:rPr>
          <w:sz w:val="24"/>
          <w:szCs w:val="24"/>
        </w:rPr>
        <w:t xml:space="preserve">, </w:t>
      </w:r>
      <w:r w:rsidR="006E0ED9" w:rsidRPr="00F13BB1">
        <w:rPr>
          <w:sz w:val="24"/>
          <w:szCs w:val="24"/>
        </w:rPr>
        <w:t>and</w:t>
      </w:r>
      <w:r w:rsidR="00FC6CC4" w:rsidRPr="00F13BB1">
        <w:rPr>
          <w:sz w:val="24"/>
          <w:szCs w:val="24"/>
        </w:rPr>
        <w:t xml:space="preserve"> results support</w:t>
      </w:r>
      <w:r w:rsidR="003A16F3">
        <w:rPr>
          <w:sz w:val="24"/>
          <w:szCs w:val="24"/>
        </w:rPr>
        <w:t xml:space="preserve"> the</w:t>
      </w:r>
      <w:r w:rsidR="00FC6CC4" w:rsidRPr="00F13BB1">
        <w:rPr>
          <w:sz w:val="24"/>
          <w:szCs w:val="24"/>
        </w:rPr>
        <w:t xml:space="preserve"> </w:t>
      </w:r>
      <w:r w:rsidR="00E67A2B" w:rsidRPr="00F13BB1">
        <w:rPr>
          <w:sz w:val="24"/>
          <w:szCs w:val="24"/>
        </w:rPr>
        <w:t>authors</w:t>
      </w:r>
      <w:r w:rsidR="003375EA" w:rsidRPr="00F13BB1">
        <w:rPr>
          <w:sz w:val="24"/>
          <w:szCs w:val="24"/>
        </w:rPr>
        <w:t>’</w:t>
      </w:r>
      <w:r w:rsidR="00F433F7" w:rsidRPr="00F13BB1">
        <w:rPr>
          <w:sz w:val="24"/>
          <w:szCs w:val="24"/>
        </w:rPr>
        <w:t xml:space="preserve"> hypothes</w:t>
      </w:r>
      <w:r w:rsidR="00E67A2B" w:rsidRPr="00F13BB1">
        <w:rPr>
          <w:sz w:val="24"/>
          <w:szCs w:val="24"/>
        </w:rPr>
        <w:t>e</w:t>
      </w:r>
      <w:r w:rsidR="00F433F7" w:rsidRPr="00F13BB1">
        <w:rPr>
          <w:sz w:val="24"/>
          <w:szCs w:val="24"/>
        </w:rPr>
        <w:t>s o</w:t>
      </w:r>
      <w:r w:rsidR="00E67A2B" w:rsidRPr="00F13BB1">
        <w:rPr>
          <w:sz w:val="24"/>
          <w:szCs w:val="24"/>
        </w:rPr>
        <w:t>n</w:t>
      </w:r>
      <w:r w:rsidR="00C378B0" w:rsidRPr="00F13BB1">
        <w:rPr>
          <w:sz w:val="24"/>
          <w:szCs w:val="24"/>
        </w:rPr>
        <w:t xml:space="preserve"> </w:t>
      </w:r>
      <w:r w:rsidR="0017156E" w:rsidRPr="00F13BB1">
        <w:rPr>
          <w:sz w:val="24"/>
          <w:szCs w:val="24"/>
        </w:rPr>
        <w:t>variation in</w:t>
      </w:r>
      <w:r w:rsidR="00F433F7" w:rsidRPr="00F13BB1">
        <w:rPr>
          <w:sz w:val="24"/>
          <w:szCs w:val="24"/>
        </w:rPr>
        <w:t xml:space="preserve"> </w:t>
      </w:r>
      <w:r w:rsidR="00BE2837" w:rsidRPr="00F13BB1">
        <w:rPr>
          <w:sz w:val="24"/>
          <w:szCs w:val="24"/>
        </w:rPr>
        <w:t xml:space="preserve">learning </w:t>
      </w:r>
      <w:r w:rsidR="00F433F7" w:rsidRPr="00F13BB1">
        <w:rPr>
          <w:sz w:val="24"/>
          <w:szCs w:val="24"/>
        </w:rPr>
        <w:t xml:space="preserve">effects </w:t>
      </w:r>
      <w:r w:rsidR="0017156E" w:rsidRPr="00F13BB1">
        <w:rPr>
          <w:sz w:val="24"/>
          <w:szCs w:val="24"/>
        </w:rPr>
        <w:t>by</w:t>
      </w:r>
      <w:r w:rsidR="00F433F7" w:rsidRPr="00F13BB1">
        <w:rPr>
          <w:sz w:val="24"/>
          <w:szCs w:val="24"/>
        </w:rPr>
        <w:t xml:space="preserve"> </w:t>
      </w:r>
      <w:r w:rsidR="00420554" w:rsidRPr="00F13BB1">
        <w:rPr>
          <w:sz w:val="24"/>
          <w:szCs w:val="24"/>
        </w:rPr>
        <w:t>caste</w:t>
      </w:r>
      <w:r w:rsidR="0017156E" w:rsidRPr="00F13BB1">
        <w:rPr>
          <w:sz w:val="24"/>
          <w:szCs w:val="24"/>
        </w:rPr>
        <w:t>.</w:t>
      </w:r>
      <w:r w:rsidR="00BC25DF" w:rsidRPr="00F13BB1">
        <w:rPr>
          <w:sz w:val="24"/>
          <w:szCs w:val="24"/>
        </w:rPr>
        <w:t xml:space="preserve"> </w:t>
      </w:r>
      <w:r w:rsidR="002E1991" w:rsidRPr="00F13BB1">
        <w:rPr>
          <w:sz w:val="24"/>
          <w:szCs w:val="24"/>
        </w:rPr>
        <w:t>F</w:t>
      </w:r>
      <w:r w:rsidR="0023183B" w:rsidRPr="00F13BB1">
        <w:rPr>
          <w:sz w:val="24"/>
          <w:szCs w:val="24"/>
        </w:rPr>
        <w:t>armers are more likely to learn from individuals in the same cas</w:t>
      </w:r>
      <w:r w:rsidR="00696F23" w:rsidRPr="00F13BB1">
        <w:rPr>
          <w:sz w:val="24"/>
          <w:szCs w:val="24"/>
        </w:rPr>
        <w:t>te</w:t>
      </w:r>
      <w:r w:rsidR="0023183B" w:rsidRPr="00F13BB1">
        <w:rPr>
          <w:sz w:val="24"/>
          <w:szCs w:val="24"/>
        </w:rPr>
        <w:t xml:space="preserve">, </w:t>
      </w:r>
      <w:r w:rsidR="00E67A2B" w:rsidRPr="00F13BB1">
        <w:rPr>
          <w:sz w:val="24"/>
          <w:szCs w:val="24"/>
        </w:rPr>
        <w:t>and</w:t>
      </w:r>
      <w:r w:rsidR="0023183B" w:rsidRPr="00F13BB1">
        <w:rPr>
          <w:sz w:val="24"/>
          <w:szCs w:val="24"/>
        </w:rPr>
        <w:t xml:space="preserve"> </w:t>
      </w:r>
      <w:r w:rsidR="002931F1" w:rsidRPr="00F13BB1">
        <w:rPr>
          <w:sz w:val="24"/>
          <w:szCs w:val="24"/>
        </w:rPr>
        <w:t>farmers</w:t>
      </w:r>
      <w:r w:rsidR="0096034A" w:rsidRPr="00F13BB1">
        <w:rPr>
          <w:sz w:val="24"/>
          <w:szCs w:val="24"/>
        </w:rPr>
        <w:t xml:space="preserve"> in lower castes</w:t>
      </w:r>
      <w:r w:rsidR="002931F1" w:rsidRPr="00F13BB1">
        <w:rPr>
          <w:sz w:val="24"/>
          <w:szCs w:val="24"/>
        </w:rPr>
        <w:t xml:space="preserve"> are more influenced by network effec</w:t>
      </w:r>
      <w:r w:rsidR="00D07074" w:rsidRPr="00F13BB1">
        <w:rPr>
          <w:sz w:val="24"/>
          <w:szCs w:val="24"/>
        </w:rPr>
        <w:t>ts</w:t>
      </w:r>
      <w:r w:rsidR="0096034A" w:rsidRPr="00F13BB1">
        <w:rPr>
          <w:sz w:val="24"/>
          <w:szCs w:val="24"/>
        </w:rPr>
        <w:t xml:space="preserve"> and higher caste farmers</w:t>
      </w:r>
      <w:r w:rsidR="00DC796A" w:rsidRPr="00F13BB1">
        <w:rPr>
          <w:sz w:val="24"/>
          <w:szCs w:val="24"/>
        </w:rPr>
        <w:t xml:space="preserve"> </w:t>
      </w:r>
      <w:r w:rsidR="0096034A" w:rsidRPr="00F13BB1">
        <w:rPr>
          <w:sz w:val="24"/>
          <w:szCs w:val="24"/>
        </w:rPr>
        <w:t xml:space="preserve">than others. </w:t>
      </w:r>
      <w:r w:rsidR="00596D0F" w:rsidRPr="00F13BB1">
        <w:rPr>
          <w:sz w:val="24"/>
          <w:szCs w:val="24"/>
        </w:rPr>
        <w:t xml:space="preserve">This study therefore contributes to a better understanding of </w:t>
      </w:r>
      <w:r w:rsidR="00596D0F" w:rsidRPr="00F13BB1">
        <w:rPr>
          <w:i/>
          <w:iCs/>
          <w:sz w:val="24"/>
          <w:szCs w:val="24"/>
        </w:rPr>
        <w:t>when</w:t>
      </w:r>
      <w:r w:rsidR="00596D0F" w:rsidRPr="00F13BB1">
        <w:rPr>
          <w:sz w:val="24"/>
          <w:szCs w:val="24"/>
        </w:rPr>
        <w:t xml:space="preserve"> </w:t>
      </w:r>
      <w:r w:rsidR="00554946" w:rsidRPr="00F13BB1">
        <w:rPr>
          <w:sz w:val="24"/>
          <w:szCs w:val="24"/>
        </w:rPr>
        <w:t xml:space="preserve">network effects operate. </w:t>
      </w:r>
    </w:p>
    <w:p w14:paraId="0B028C40" w14:textId="79BC8442" w:rsidR="0015495F" w:rsidRPr="00F13BB1" w:rsidRDefault="0015495F" w:rsidP="007A3187">
      <w:pPr>
        <w:spacing w:line="480" w:lineRule="auto"/>
        <w:rPr>
          <w:sz w:val="24"/>
          <w:szCs w:val="24"/>
        </w:rPr>
      </w:pPr>
      <w:r w:rsidRPr="00F13BB1">
        <w:rPr>
          <w:sz w:val="24"/>
          <w:szCs w:val="24"/>
        </w:rPr>
        <w:t xml:space="preserve">The approach adopted by </w:t>
      </w:r>
      <w:r w:rsidRPr="00F13BB1">
        <w:rPr>
          <w:sz w:val="24"/>
          <w:szCs w:val="24"/>
        </w:rPr>
        <w:fldChar w:fldCharType="begin"/>
      </w:r>
      <w:r w:rsidRPr="00F13BB1">
        <w:rPr>
          <w:sz w:val="24"/>
          <w:szCs w:val="24"/>
        </w:rPr>
        <w:instrText xml:space="preserve"> ADDIN ZOTERO_ITEM CSL_CITATION {"citationID":"Q6r9Aff6","properties":{"formattedCitation":"(Fisher {\\i{}et al.}, 2018)","plainCitation":"(Fisher et al., 2018)","noteIndex":0},"citationItems":[{"id":1556,"uris":["http://zotero.org/users/7916616/items/ICHU83DQ"],"itemData":{"id":1556,"type":"article-journal","abstract":"Despite the potential of conservation agriculture (CA) for increased crop yields, energy savings, soil erosion control, and water-use efficiency, smallholder farmers in sub-Saharan Africa have been slow to adopt. Farmer-to-farmer extension (F2FE) may have a role to play in overcoming the information access problems and lack of knowledge that may preclude widespread adoption. This study uses data for 180 lead farmers linked to their 455 followers to investigate how F2FE influences awareness and adoption of CA technologies in Malawi. Results from a bivariate probit model for follower farmer awareness and adoption of the three CA principles (minimum soil disturbance, crop residue retention, and crop diversification) reveal four main findings: First, lead farmer motivation increases their effectiveness at diffusing CA practices to their followers. Second, lead farmer familiarity with and adoption of CA both matter to the spread of CA practices, but familiarity appears more important. Third, lead farmers play a more critical role in increasing awareness than adoption of the CA practices. Finally, F2FE is a complement rather than a substitute for other sources of agricultural extension in Malawi's pluralistic extension system and should support but not replace current systems. Research and policy implications are discussed.","container-title":"International Journal of Agricultural Sustainability","DOI":"10.1080/14735903.2018.1472411","ISSN":"1473-5903","issue":"3","note":"publisher: Taylor &amp; Francis\n_eprint: https://doi.org/10.1080/14735903.2018.1472411","page":"310-325","source":"Taylor and Francis+NEJM","title":"Awareness and adoption of conservation agriculture in Malawi: what difference can farmer-to-farmer extension make?","title-short":"Awareness and adoption of conservation agriculture in Malawi","URL":"https://doi.org/10.1080/14735903.2018.1472411","volume":"16","author":[{"family":"Fisher","given":"Monica"},{"family":"Holden","given":"Stein T."},{"family":"Thierfelder","given":"Christian"},{"family":"Katengeza","given":"Samson P."}],"accessed":{"date-parts":[["2022",10,21]]},"issued":{"date-parts":[["2018",5,4]]}}}],"schema":"https://github.com/citation-style-language/schema/raw/master/csl-citation.json"} </w:instrText>
      </w:r>
      <w:r w:rsidRPr="00F13BB1">
        <w:rPr>
          <w:sz w:val="24"/>
          <w:szCs w:val="24"/>
        </w:rPr>
        <w:fldChar w:fldCharType="separate"/>
      </w:r>
      <w:r w:rsidRPr="00F13BB1">
        <w:rPr>
          <w:rFonts w:ascii="Calibri" w:hAnsi="Calibri" w:cs="Calibri"/>
          <w:sz w:val="24"/>
          <w:szCs w:val="24"/>
        </w:rPr>
        <w:t xml:space="preserve">Fisher </w:t>
      </w:r>
      <w:r w:rsidRPr="00F13BB1">
        <w:rPr>
          <w:rFonts w:ascii="Calibri" w:hAnsi="Calibri" w:cs="Calibri"/>
          <w:i/>
          <w:iCs/>
          <w:sz w:val="24"/>
          <w:szCs w:val="24"/>
        </w:rPr>
        <w:t>et al.</w:t>
      </w:r>
      <w:r w:rsidRPr="00F13BB1">
        <w:rPr>
          <w:rFonts w:ascii="Calibri" w:hAnsi="Calibri" w:cs="Calibri"/>
          <w:sz w:val="24"/>
          <w:szCs w:val="24"/>
        </w:rPr>
        <w:t xml:space="preserve"> (2018)</w:t>
      </w:r>
      <w:r w:rsidRPr="00F13BB1">
        <w:rPr>
          <w:sz w:val="24"/>
          <w:szCs w:val="24"/>
        </w:rPr>
        <w:fldChar w:fldCharType="end"/>
      </w:r>
      <w:r w:rsidRPr="00F13BB1">
        <w:rPr>
          <w:sz w:val="24"/>
          <w:szCs w:val="24"/>
        </w:rPr>
        <w:t xml:space="preserve"> differs from those above in that authors construct two models to study the influence of lead</w:t>
      </w:r>
      <w:r w:rsidR="00E81784" w:rsidRPr="00F13BB1">
        <w:rPr>
          <w:sz w:val="24"/>
          <w:szCs w:val="24"/>
        </w:rPr>
        <w:t>-</w:t>
      </w:r>
      <w:r w:rsidRPr="00F13BB1">
        <w:rPr>
          <w:sz w:val="24"/>
          <w:szCs w:val="24"/>
        </w:rPr>
        <w:t>farmer characteristics on farmer awareness</w:t>
      </w:r>
      <w:r w:rsidR="00650194">
        <w:rPr>
          <w:sz w:val="24"/>
          <w:szCs w:val="24"/>
        </w:rPr>
        <w:t xml:space="preserve"> </w:t>
      </w:r>
      <w:r w:rsidRPr="00F13BB1">
        <w:rPr>
          <w:sz w:val="24"/>
          <w:szCs w:val="24"/>
        </w:rPr>
        <w:t xml:space="preserve">and uptake of conservation agriculture </w:t>
      </w:r>
      <w:r w:rsidR="00406C24" w:rsidRPr="00F13BB1">
        <w:rPr>
          <w:sz w:val="24"/>
          <w:szCs w:val="24"/>
        </w:rPr>
        <w:t>techniques</w:t>
      </w:r>
      <w:r w:rsidRPr="00F13BB1">
        <w:rPr>
          <w:sz w:val="24"/>
          <w:szCs w:val="24"/>
        </w:rPr>
        <w:t>, respectively. Using household and network data of lead</w:t>
      </w:r>
      <w:r w:rsidR="00E81784" w:rsidRPr="00F13BB1">
        <w:rPr>
          <w:sz w:val="24"/>
          <w:szCs w:val="24"/>
        </w:rPr>
        <w:t>-</w:t>
      </w:r>
      <w:r w:rsidRPr="00F13BB1">
        <w:rPr>
          <w:sz w:val="24"/>
          <w:szCs w:val="24"/>
        </w:rPr>
        <w:t xml:space="preserve"> and follower</w:t>
      </w:r>
      <w:r w:rsidR="00E81784" w:rsidRPr="00F13BB1">
        <w:rPr>
          <w:sz w:val="24"/>
          <w:szCs w:val="24"/>
        </w:rPr>
        <w:t>-</w:t>
      </w:r>
      <w:r w:rsidRPr="00F13BB1">
        <w:rPr>
          <w:sz w:val="24"/>
          <w:szCs w:val="24"/>
        </w:rPr>
        <w:t>farmers</w:t>
      </w:r>
      <w:r w:rsidR="00406C24" w:rsidRPr="00F13BB1">
        <w:rPr>
          <w:rStyle w:val="FootnoteReference"/>
          <w:sz w:val="24"/>
          <w:szCs w:val="24"/>
        </w:rPr>
        <w:footnoteReference w:id="11"/>
      </w:r>
      <w:r w:rsidRPr="00F13BB1">
        <w:rPr>
          <w:sz w:val="24"/>
          <w:szCs w:val="24"/>
        </w:rPr>
        <w:t xml:space="preserve"> in Malawi, authors simultaneously estimate</w:t>
      </w:r>
      <w:r w:rsidRPr="00F13BB1">
        <w:rPr>
          <w:rStyle w:val="FootnoteReference"/>
          <w:sz w:val="24"/>
          <w:szCs w:val="24"/>
        </w:rPr>
        <w:footnoteReference w:id="12"/>
      </w:r>
      <w:r w:rsidRPr="00F13BB1">
        <w:rPr>
          <w:sz w:val="24"/>
          <w:szCs w:val="24"/>
        </w:rPr>
        <w:t xml:space="preserve"> the influence of lead</w:t>
      </w:r>
      <w:r w:rsidR="00E81784" w:rsidRPr="00F13BB1">
        <w:rPr>
          <w:sz w:val="24"/>
          <w:szCs w:val="24"/>
        </w:rPr>
        <w:t>-</w:t>
      </w:r>
      <w:r w:rsidRPr="00F13BB1">
        <w:rPr>
          <w:sz w:val="24"/>
          <w:szCs w:val="24"/>
        </w:rPr>
        <w:t>farmer familiarity with and adoption of technology</w:t>
      </w:r>
      <w:r w:rsidR="00032D36" w:rsidRPr="00F13BB1">
        <w:rPr>
          <w:sz w:val="24"/>
          <w:szCs w:val="24"/>
        </w:rPr>
        <w:t>, amongst others</w:t>
      </w:r>
      <w:r w:rsidRPr="00F13BB1">
        <w:rPr>
          <w:sz w:val="24"/>
          <w:szCs w:val="24"/>
        </w:rPr>
        <w:t>, whilst controlling for farmer, household, and village traits.  Findings indicate that higher lead</w:t>
      </w:r>
      <w:r w:rsidR="00E81784" w:rsidRPr="00F13BB1">
        <w:rPr>
          <w:sz w:val="24"/>
          <w:szCs w:val="24"/>
        </w:rPr>
        <w:t>-</w:t>
      </w:r>
      <w:r w:rsidRPr="00F13BB1">
        <w:rPr>
          <w:sz w:val="24"/>
          <w:szCs w:val="24"/>
        </w:rPr>
        <w:t>farmer familiarity and adoption generally improve other</w:t>
      </w:r>
      <w:r w:rsidR="000E4512" w:rsidRPr="00F13BB1">
        <w:rPr>
          <w:sz w:val="24"/>
          <w:szCs w:val="24"/>
        </w:rPr>
        <w:t>s’</w:t>
      </w:r>
      <w:r w:rsidRPr="00F13BB1">
        <w:rPr>
          <w:sz w:val="24"/>
          <w:szCs w:val="24"/>
        </w:rPr>
        <w:t xml:space="preserve"> awareness, as expected, yet of the two only familiarity is found to increase uptake</w:t>
      </w:r>
      <w:r w:rsidR="00A82E84" w:rsidRPr="00F13BB1">
        <w:rPr>
          <w:sz w:val="24"/>
          <w:szCs w:val="24"/>
        </w:rPr>
        <w:t>. T</w:t>
      </w:r>
      <w:r w:rsidR="003300BB" w:rsidRPr="00F13BB1">
        <w:rPr>
          <w:sz w:val="24"/>
          <w:szCs w:val="24"/>
        </w:rPr>
        <w:t>his may be interpreted as supporting</w:t>
      </w:r>
      <w:r w:rsidR="00BF2702" w:rsidRPr="00F13BB1">
        <w:rPr>
          <w:sz w:val="24"/>
          <w:szCs w:val="24"/>
        </w:rPr>
        <w:t xml:space="preserve"> the </w:t>
      </w:r>
      <w:r w:rsidR="003300BB" w:rsidRPr="00F13BB1">
        <w:rPr>
          <w:sz w:val="24"/>
          <w:szCs w:val="24"/>
        </w:rPr>
        <w:t>prominence</w:t>
      </w:r>
      <w:r w:rsidR="00BF2702" w:rsidRPr="00F13BB1">
        <w:rPr>
          <w:sz w:val="24"/>
          <w:szCs w:val="24"/>
        </w:rPr>
        <w:t xml:space="preserve"> of learning </w:t>
      </w:r>
      <w:r w:rsidR="00BF2702" w:rsidRPr="00F13BB1">
        <w:rPr>
          <w:sz w:val="24"/>
          <w:szCs w:val="24"/>
        </w:rPr>
        <w:lastRenderedPageBreak/>
        <w:t>over</w:t>
      </w:r>
      <w:r w:rsidR="00EF28AB" w:rsidRPr="00F13BB1">
        <w:rPr>
          <w:sz w:val="24"/>
          <w:szCs w:val="24"/>
        </w:rPr>
        <w:t xml:space="preserve"> social pressure in explaining network effects</w:t>
      </w:r>
      <w:r w:rsidR="003300BB" w:rsidRPr="00F13BB1">
        <w:rPr>
          <w:sz w:val="24"/>
          <w:szCs w:val="24"/>
        </w:rPr>
        <w:t>. T</w:t>
      </w:r>
      <w:r w:rsidR="00EF28AB" w:rsidRPr="00F13BB1">
        <w:rPr>
          <w:sz w:val="24"/>
          <w:szCs w:val="24"/>
        </w:rPr>
        <w:t>hus</w:t>
      </w:r>
      <w:r w:rsidR="005771C4" w:rsidRPr="00F13BB1">
        <w:rPr>
          <w:sz w:val="24"/>
          <w:szCs w:val="24"/>
        </w:rPr>
        <w:t>,</w:t>
      </w:r>
      <w:r w:rsidR="00EF28AB" w:rsidRPr="00F13BB1">
        <w:rPr>
          <w:sz w:val="24"/>
          <w:szCs w:val="24"/>
        </w:rPr>
        <w:t xml:space="preserve"> e</w:t>
      </w:r>
      <w:r w:rsidRPr="00F13BB1">
        <w:rPr>
          <w:sz w:val="24"/>
          <w:szCs w:val="24"/>
        </w:rPr>
        <w:t>ven though this study only measures lead</w:t>
      </w:r>
      <w:r w:rsidR="00E81784" w:rsidRPr="00F13BB1">
        <w:rPr>
          <w:sz w:val="24"/>
          <w:szCs w:val="24"/>
        </w:rPr>
        <w:t>-</w:t>
      </w:r>
      <w:r w:rsidRPr="00F13BB1">
        <w:rPr>
          <w:sz w:val="24"/>
          <w:szCs w:val="24"/>
        </w:rPr>
        <w:t xml:space="preserve">farmers’ influence, it </w:t>
      </w:r>
      <w:r w:rsidR="00032D36" w:rsidRPr="00F13BB1">
        <w:rPr>
          <w:sz w:val="24"/>
          <w:szCs w:val="24"/>
        </w:rPr>
        <w:t xml:space="preserve">also provides </w:t>
      </w:r>
      <w:r w:rsidRPr="00F13BB1">
        <w:rPr>
          <w:sz w:val="24"/>
          <w:szCs w:val="24"/>
        </w:rPr>
        <w:t xml:space="preserve">insights about </w:t>
      </w:r>
      <w:r w:rsidR="008205BA" w:rsidRPr="00F13BB1">
        <w:rPr>
          <w:sz w:val="24"/>
          <w:szCs w:val="24"/>
        </w:rPr>
        <w:t>how and when network effects matter</w:t>
      </w:r>
      <w:r w:rsidRPr="00F13BB1">
        <w:rPr>
          <w:sz w:val="24"/>
          <w:szCs w:val="24"/>
        </w:rPr>
        <w:t xml:space="preserve">.  </w:t>
      </w:r>
    </w:p>
    <w:p w14:paraId="42189DB4" w14:textId="7E659F4A" w:rsidR="00FE601A" w:rsidRPr="00F13BB1" w:rsidRDefault="00641595" w:rsidP="007A3187">
      <w:pPr>
        <w:spacing w:line="480" w:lineRule="auto"/>
        <w:rPr>
          <w:sz w:val="24"/>
          <w:szCs w:val="24"/>
        </w:rPr>
      </w:pPr>
      <w:r w:rsidRPr="00F13BB1">
        <w:rPr>
          <w:sz w:val="24"/>
          <w:szCs w:val="24"/>
        </w:rPr>
        <w:fldChar w:fldCharType="begin"/>
      </w:r>
      <w:r w:rsidRPr="00F13BB1">
        <w:rPr>
          <w:sz w:val="24"/>
          <w:szCs w:val="24"/>
        </w:rPr>
        <w:instrText xml:space="preserve"> ADDIN ZOTERO_ITEM CSL_CITATION {"citationID":"sfBqik1M","properties":{"formattedCitation":"(Fafchamps, S\\uc0\\u246{}derbom and van den Boogart, 2022)","plainCitation":"(Fafchamps, Söderbom and van den Boogart, 2022)","noteIndex":0},"citationItems":[{"id":1916,"uris":["http://zotero.org/users/7916616/items/RL6EMRXX"],"itemData":{"id":1916,"type":"article-journal","abstract":"We examine patterns of adoption of a new airtime transfer service over time. We document a strong positive correlation between own adoption and increased usage of the new airtime transfer platform by social neighbours. We examine the possible sources of this correlation by distinguishing between network externalities that extend after adoption and social learning that stops after adoption. We find no correlation between usage by social neighbours and own usage after first adoption. We conclude that social learning about the existence and quality of a new product platform are important mechanisms in its diffusion.","container-title":"Oxford Bulletin of Economics and Statistics","DOI":"10.1111/obes.12491","ISSN":"1468-0084","issue":"n/a","language":"en","note":"_eprint: https://onlinelibrary.wiley.com/doi/pdf/10.1111/obes.12491","source":"Wiley Online Library","title":"Adoption with Social Learning and Network Externalities*","URL":"https://onlinelibrary.wiley.com/doi/abs/10.1111/obes.12491","volume":"n/a","author":[{"family":"Fafchamps","given":"Marcel"},{"family":"Söderbom","given":"Måns"},{"family":"Boogart","given":"Monique","non-dropping-particle":"van den"}],"accessed":{"date-parts":[["2022",10,24]]},"issued":{"date-parts":[["2022",3,7]]}}}],"schema":"https://github.com/citation-style-language/schema/raw/master/csl-citation.json"} </w:instrText>
      </w:r>
      <w:r w:rsidRPr="00F13BB1">
        <w:rPr>
          <w:sz w:val="24"/>
          <w:szCs w:val="24"/>
        </w:rPr>
        <w:fldChar w:fldCharType="separate"/>
      </w:r>
      <w:r w:rsidRPr="00F13BB1">
        <w:rPr>
          <w:rFonts w:ascii="Calibri" w:hAnsi="Calibri" w:cs="Calibri"/>
          <w:sz w:val="24"/>
          <w:szCs w:val="24"/>
        </w:rPr>
        <w:t>Fafchamps, Söderbom and van den Boogart</w:t>
      </w:r>
      <w:r w:rsidR="007F7F48" w:rsidRPr="00F13BB1">
        <w:rPr>
          <w:rFonts w:ascii="Calibri" w:hAnsi="Calibri" w:cs="Calibri"/>
          <w:sz w:val="24"/>
          <w:szCs w:val="24"/>
        </w:rPr>
        <w:t xml:space="preserve">'s </w:t>
      </w:r>
      <w:r w:rsidR="00582D5F" w:rsidRPr="00F13BB1">
        <w:rPr>
          <w:rFonts w:ascii="Calibri" w:hAnsi="Calibri" w:cs="Calibri"/>
          <w:sz w:val="24"/>
          <w:szCs w:val="24"/>
        </w:rPr>
        <w:t>model</w:t>
      </w:r>
      <w:r w:rsidR="0089121C" w:rsidRPr="00F13BB1">
        <w:rPr>
          <w:rFonts w:ascii="Calibri" w:hAnsi="Calibri" w:cs="Calibri"/>
          <w:sz w:val="24"/>
          <w:szCs w:val="24"/>
        </w:rPr>
        <w:t xml:space="preserve"> (</w:t>
      </w:r>
      <w:r w:rsidRPr="00F13BB1">
        <w:rPr>
          <w:rFonts w:ascii="Calibri" w:hAnsi="Calibri" w:cs="Calibri"/>
          <w:sz w:val="24"/>
          <w:szCs w:val="24"/>
        </w:rPr>
        <w:t>2022)</w:t>
      </w:r>
      <w:r w:rsidRPr="00F13BB1">
        <w:rPr>
          <w:sz w:val="24"/>
          <w:szCs w:val="24"/>
        </w:rPr>
        <w:fldChar w:fldCharType="end"/>
      </w:r>
      <w:r w:rsidR="000048C9" w:rsidRPr="00F13BB1">
        <w:rPr>
          <w:sz w:val="24"/>
          <w:szCs w:val="24"/>
        </w:rPr>
        <w:t xml:space="preserve"> </w:t>
      </w:r>
      <w:r w:rsidR="00454587" w:rsidRPr="00F13BB1">
        <w:rPr>
          <w:sz w:val="24"/>
          <w:szCs w:val="24"/>
        </w:rPr>
        <w:t>is different</w:t>
      </w:r>
      <w:r w:rsidR="0076144A" w:rsidRPr="00F13BB1">
        <w:rPr>
          <w:sz w:val="24"/>
          <w:szCs w:val="24"/>
        </w:rPr>
        <w:t xml:space="preserve"> in that </w:t>
      </w:r>
      <w:r w:rsidR="000048C9" w:rsidRPr="00F13BB1">
        <w:rPr>
          <w:sz w:val="24"/>
          <w:szCs w:val="24"/>
        </w:rPr>
        <w:t>i</w:t>
      </w:r>
      <w:r w:rsidR="00871615" w:rsidRPr="00F13BB1">
        <w:rPr>
          <w:sz w:val="24"/>
          <w:szCs w:val="24"/>
        </w:rPr>
        <w:t xml:space="preserve">t </w:t>
      </w:r>
      <w:r w:rsidR="00582D5F" w:rsidRPr="00F13BB1">
        <w:rPr>
          <w:sz w:val="24"/>
          <w:szCs w:val="24"/>
        </w:rPr>
        <w:t xml:space="preserve">directly </w:t>
      </w:r>
      <w:r w:rsidR="003F1BE7" w:rsidRPr="00F13BB1">
        <w:rPr>
          <w:sz w:val="24"/>
          <w:szCs w:val="24"/>
        </w:rPr>
        <w:t>incorporat</w:t>
      </w:r>
      <w:r w:rsidR="0076144A" w:rsidRPr="00F13BB1">
        <w:rPr>
          <w:sz w:val="24"/>
          <w:szCs w:val="24"/>
        </w:rPr>
        <w:t xml:space="preserve">es </w:t>
      </w:r>
      <w:r w:rsidR="003F1BE7" w:rsidRPr="00F13BB1">
        <w:rPr>
          <w:sz w:val="24"/>
          <w:szCs w:val="24"/>
        </w:rPr>
        <w:t xml:space="preserve">the flow of </w:t>
      </w:r>
      <w:r w:rsidR="00943D24" w:rsidRPr="00F13BB1">
        <w:rPr>
          <w:i/>
          <w:iCs/>
          <w:sz w:val="24"/>
          <w:szCs w:val="24"/>
        </w:rPr>
        <w:t>knowledge</w:t>
      </w:r>
      <w:r w:rsidR="00432B35" w:rsidRPr="00F13BB1">
        <w:rPr>
          <w:i/>
          <w:iCs/>
          <w:sz w:val="24"/>
          <w:szCs w:val="24"/>
        </w:rPr>
        <w:t xml:space="preserve"> </w:t>
      </w:r>
      <w:r w:rsidR="00432B35" w:rsidRPr="00F13BB1">
        <w:rPr>
          <w:sz w:val="24"/>
          <w:szCs w:val="24"/>
        </w:rPr>
        <w:t>though networks</w:t>
      </w:r>
      <w:r w:rsidR="002E3C37" w:rsidRPr="00F13BB1">
        <w:rPr>
          <w:sz w:val="24"/>
          <w:szCs w:val="24"/>
        </w:rPr>
        <w:t xml:space="preserve">, </w:t>
      </w:r>
      <w:r w:rsidR="00ED575A" w:rsidRPr="00F13BB1">
        <w:rPr>
          <w:sz w:val="24"/>
          <w:szCs w:val="24"/>
        </w:rPr>
        <w:t xml:space="preserve">thus </w:t>
      </w:r>
      <w:r w:rsidR="000D6456" w:rsidRPr="00F13BB1">
        <w:rPr>
          <w:sz w:val="24"/>
          <w:szCs w:val="24"/>
        </w:rPr>
        <w:t xml:space="preserve">explicitly </w:t>
      </w:r>
      <w:r w:rsidR="00ED575A" w:rsidRPr="00F13BB1">
        <w:rPr>
          <w:sz w:val="24"/>
          <w:szCs w:val="24"/>
        </w:rPr>
        <w:t>studying</w:t>
      </w:r>
      <w:r w:rsidR="000D6456" w:rsidRPr="00F13BB1">
        <w:rPr>
          <w:sz w:val="24"/>
          <w:szCs w:val="24"/>
        </w:rPr>
        <w:t xml:space="preserve"> </w:t>
      </w:r>
      <w:r w:rsidR="00554946" w:rsidRPr="00F13BB1">
        <w:rPr>
          <w:i/>
          <w:iCs/>
          <w:sz w:val="24"/>
          <w:szCs w:val="24"/>
        </w:rPr>
        <w:t xml:space="preserve">how </w:t>
      </w:r>
      <w:r w:rsidR="00554946" w:rsidRPr="00F13BB1">
        <w:rPr>
          <w:sz w:val="24"/>
          <w:szCs w:val="24"/>
        </w:rPr>
        <w:t>network effects operate.</w:t>
      </w:r>
      <w:r w:rsidR="00E14E3F" w:rsidRPr="00F13BB1">
        <w:rPr>
          <w:sz w:val="24"/>
          <w:szCs w:val="24"/>
        </w:rPr>
        <w:t xml:space="preserve"> </w:t>
      </w:r>
      <w:r w:rsidR="00CC6A4E" w:rsidRPr="00F13BB1">
        <w:rPr>
          <w:sz w:val="24"/>
          <w:szCs w:val="24"/>
        </w:rPr>
        <w:t>T</w:t>
      </w:r>
      <w:r w:rsidR="00464E57" w:rsidRPr="00F13BB1">
        <w:rPr>
          <w:sz w:val="24"/>
          <w:szCs w:val="24"/>
        </w:rPr>
        <w:t>h</w:t>
      </w:r>
      <w:r w:rsidR="00425D39" w:rsidRPr="00F13BB1">
        <w:rPr>
          <w:sz w:val="24"/>
          <w:szCs w:val="24"/>
        </w:rPr>
        <w:t xml:space="preserve">is </w:t>
      </w:r>
      <w:r w:rsidR="00EC369C" w:rsidRPr="00F13BB1">
        <w:rPr>
          <w:sz w:val="24"/>
          <w:szCs w:val="24"/>
        </w:rPr>
        <w:t xml:space="preserve">is made possible by </w:t>
      </w:r>
      <w:r w:rsidR="008D201C" w:rsidRPr="00F13BB1">
        <w:rPr>
          <w:sz w:val="24"/>
          <w:szCs w:val="24"/>
        </w:rPr>
        <w:t>us</w:t>
      </w:r>
      <w:r w:rsidR="002E5A32" w:rsidRPr="00F13BB1">
        <w:rPr>
          <w:sz w:val="24"/>
          <w:szCs w:val="24"/>
        </w:rPr>
        <w:t>ing a</w:t>
      </w:r>
      <w:r w:rsidR="005D5847" w:rsidRPr="00F13BB1">
        <w:rPr>
          <w:sz w:val="24"/>
          <w:szCs w:val="24"/>
        </w:rPr>
        <w:t xml:space="preserve"> </w:t>
      </w:r>
      <w:r w:rsidR="003635AF" w:rsidRPr="00F13BB1">
        <w:rPr>
          <w:sz w:val="24"/>
          <w:szCs w:val="24"/>
        </w:rPr>
        <w:t xml:space="preserve">rigorous dataset of </w:t>
      </w:r>
      <w:r w:rsidR="00D566FC" w:rsidRPr="00F13BB1">
        <w:rPr>
          <w:sz w:val="24"/>
          <w:szCs w:val="24"/>
        </w:rPr>
        <w:t>mobile-phone exchanges</w:t>
      </w:r>
      <w:r w:rsidR="009B2977" w:rsidRPr="00F13BB1">
        <w:rPr>
          <w:sz w:val="24"/>
          <w:szCs w:val="24"/>
        </w:rPr>
        <w:t xml:space="preserve"> </w:t>
      </w:r>
      <w:r w:rsidR="006923E2" w:rsidRPr="00F13BB1">
        <w:rPr>
          <w:sz w:val="24"/>
          <w:szCs w:val="24"/>
        </w:rPr>
        <w:t>to</w:t>
      </w:r>
      <w:r w:rsidR="00684BD7" w:rsidRPr="00F13BB1">
        <w:rPr>
          <w:sz w:val="24"/>
          <w:szCs w:val="24"/>
        </w:rPr>
        <w:t xml:space="preserve"> study the </w:t>
      </w:r>
      <w:r w:rsidR="00D60A3E" w:rsidRPr="00F13BB1">
        <w:rPr>
          <w:sz w:val="24"/>
          <w:szCs w:val="24"/>
        </w:rPr>
        <w:t xml:space="preserve">spread of </w:t>
      </w:r>
      <w:r w:rsidR="008E67C5" w:rsidRPr="00F13BB1">
        <w:rPr>
          <w:sz w:val="24"/>
          <w:szCs w:val="24"/>
        </w:rPr>
        <w:t>awareness</w:t>
      </w:r>
      <w:r w:rsidR="009B2977" w:rsidRPr="00F13BB1">
        <w:rPr>
          <w:sz w:val="24"/>
          <w:szCs w:val="24"/>
        </w:rPr>
        <w:t xml:space="preserve"> </w:t>
      </w:r>
      <w:r w:rsidR="00B52BA3" w:rsidRPr="00F13BB1">
        <w:rPr>
          <w:sz w:val="24"/>
          <w:szCs w:val="24"/>
        </w:rPr>
        <w:t xml:space="preserve">and use of </w:t>
      </w:r>
      <w:r w:rsidR="00BD1031" w:rsidRPr="00F13BB1">
        <w:rPr>
          <w:sz w:val="24"/>
          <w:szCs w:val="24"/>
        </w:rPr>
        <w:t>mobile credit</w:t>
      </w:r>
      <w:r w:rsidR="00B52BA3" w:rsidRPr="00F13BB1">
        <w:rPr>
          <w:sz w:val="24"/>
          <w:szCs w:val="24"/>
        </w:rPr>
        <w:t xml:space="preserve"> transfer technology</w:t>
      </w:r>
      <w:r w:rsidR="00DB32A7" w:rsidRPr="00F13BB1">
        <w:rPr>
          <w:sz w:val="24"/>
          <w:szCs w:val="24"/>
        </w:rPr>
        <w:t xml:space="preserve">, </w:t>
      </w:r>
      <w:r w:rsidR="00A50622" w:rsidRPr="00F13BB1">
        <w:rPr>
          <w:sz w:val="24"/>
          <w:szCs w:val="24"/>
        </w:rPr>
        <w:t>which</w:t>
      </w:r>
      <w:r w:rsidR="00DB32A7" w:rsidRPr="00F13BB1">
        <w:rPr>
          <w:sz w:val="24"/>
          <w:szCs w:val="24"/>
        </w:rPr>
        <w:t xml:space="preserve"> allows for </w:t>
      </w:r>
      <w:r w:rsidR="00965219" w:rsidRPr="00F13BB1">
        <w:rPr>
          <w:sz w:val="24"/>
          <w:szCs w:val="24"/>
        </w:rPr>
        <w:t xml:space="preserve">learning and </w:t>
      </w:r>
      <w:r w:rsidR="0031469E" w:rsidRPr="00F13BB1">
        <w:rPr>
          <w:sz w:val="24"/>
          <w:szCs w:val="24"/>
        </w:rPr>
        <w:t xml:space="preserve">social </w:t>
      </w:r>
      <w:r w:rsidR="004726CF" w:rsidRPr="00F13BB1">
        <w:rPr>
          <w:sz w:val="24"/>
          <w:szCs w:val="24"/>
        </w:rPr>
        <w:t>pressure</w:t>
      </w:r>
      <w:r w:rsidR="0031469E" w:rsidRPr="00F13BB1">
        <w:rPr>
          <w:sz w:val="24"/>
          <w:szCs w:val="24"/>
        </w:rPr>
        <w:t xml:space="preserve"> to be </w:t>
      </w:r>
      <w:r w:rsidR="00A50622" w:rsidRPr="00F13BB1">
        <w:rPr>
          <w:sz w:val="24"/>
          <w:szCs w:val="24"/>
        </w:rPr>
        <w:t>independently identified from network</w:t>
      </w:r>
      <w:r w:rsidR="00A552F9" w:rsidRPr="00F13BB1">
        <w:rPr>
          <w:sz w:val="24"/>
          <w:szCs w:val="24"/>
        </w:rPr>
        <w:t xml:space="preserve"> effects</w:t>
      </w:r>
      <w:r w:rsidR="00905909" w:rsidRPr="00F13BB1">
        <w:rPr>
          <w:sz w:val="24"/>
          <w:szCs w:val="24"/>
        </w:rPr>
        <w:t xml:space="preserve">. </w:t>
      </w:r>
      <w:r w:rsidR="00BF43CB" w:rsidRPr="00F13BB1">
        <w:rPr>
          <w:sz w:val="24"/>
          <w:szCs w:val="24"/>
        </w:rPr>
        <w:t xml:space="preserve">Findings indicate </w:t>
      </w:r>
      <w:r w:rsidR="00A552F9" w:rsidRPr="00F13BB1">
        <w:rPr>
          <w:sz w:val="24"/>
          <w:szCs w:val="24"/>
        </w:rPr>
        <w:t xml:space="preserve">the former to be significant </w:t>
      </w:r>
      <w:r w:rsidR="00040A84" w:rsidRPr="00F13BB1">
        <w:rPr>
          <w:sz w:val="24"/>
          <w:szCs w:val="24"/>
        </w:rPr>
        <w:t xml:space="preserve">in terms of both learning about the </w:t>
      </w:r>
      <w:r w:rsidR="00040A84" w:rsidRPr="00F13BB1">
        <w:rPr>
          <w:i/>
          <w:iCs/>
          <w:sz w:val="24"/>
          <w:szCs w:val="24"/>
        </w:rPr>
        <w:t>existence</w:t>
      </w:r>
      <w:r w:rsidR="00040A84" w:rsidRPr="00F13BB1">
        <w:rPr>
          <w:sz w:val="24"/>
          <w:szCs w:val="24"/>
        </w:rPr>
        <w:t xml:space="preserve"> and </w:t>
      </w:r>
      <w:r w:rsidR="00980ECD" w:rsidRPr="00F13BB1">
        <w:rPr>
          <w:i/>
          <w:iCs/>
          <w:sz w:val="24"/>
          <w:szCs w:val="24"/>
        </w:rPr>
        <w:t>utility</w:t>
      </w:r>
      <w:r w:rsidR="00040A84" w:rsidRPr="00F13BB1">
        <w:rPr>
          <w:sz w:val="24"/>
          <w:szCs w:val="24"/>
        </w:rPr>
        <w:t xml:space="preserve"> of the technology, </w:t>
      </w:r>
      <w:r w:rsidR="008008E8" w:rsidRPr="00F13BB1">
        <w:rPr>
          <w:sz w:val="24"/>
          <w:szCs w:val="24"/>
        </w:rPr>
        <w:t xml:space="preserve">as expected, </w:t>
      </w:r>
      <w:r w:rsidR="00040A84" w:rsidRPr="00F13BB1">
        <w:rPr>
          <w:sz w:val="24"/>
          <w:szCs w:val="24"/>
        </w:rPr>
        <w:t xml:space="preserve">but </w:t>
      </w:r>
      <w:r w:rsidR="006D63B5" w:rsidRPr="00F13BB1">
        <w:rPr>
          <w:sz w:val="24"/>
          <w:szCs w:val="24"/>
        </w:rPr>
        <w:t xml:space="preserve">once again </w:t>
      </w:r>
      <w:r w:rsidR="00040A84" w:rsidRPr="00F13BB1">
        <w:rPr>
          <w:sz w:val="24"/>
          <w:szCs w:val="24"/>
        </w:rPr>
        <w:t>no evidence i</w:t>
      </w:r>
      <w:r w:rsidR="003E60A2">
        <w:rPr>
          <w:sz w:val="24"/>
          <w:szCs w:val="24"/>
        </w:rPr>
        <w:t>s found to</w:t>
      </w:r>
      <w:r w:rsidR="00040A84" w:rsidRPr="00F13BB1">
        <w:rPr>
          <w:sz w:val="24"/>
          <w:szCs w:val="24"/>
        </w:rPr>
        <w:t xml:space="preserve"> support </w:t>
      </w:r>
      <w:r w:rsidR="00CC351A" w:rsidRPr="00F13BB1">
        <w:rPr>
          <w:sz w:val="24"/>
          <w:szCs w:val="24"/>
        </w:rPr>
        <w:t>social pressure</w:t>
      </w:r>
      <w:r w:rsidR="00B330E5" w:rsidRPr="00F13BB1">
        <w:rPr>
          <w:sz w:val="24"/>
          <w:szCs w:val="24"/>
        </w:rPr>
        <w:t>.</w:t>
      </w:r>
      <w:r w:rsidR="00263C85" w:rsidRPr="00F13BB1">
        <w:rPr>
          <w:sz w:val="24"/>
          <w:szCs w:val="24"/>
        </w:rPr>
        <w:t xml:space="preserve"> </w:t>
      </w:r>
    </w:p>
    <w:p w14:paraId="7E062D89" w14:textId="72ED2239" w:rsidR="00AB7AC7" w:rsidRPr="00F13BB1" w:rsidRDefault="00E57BCF" w:rsidP="007A3187">
      <w:pPr>
        <w:spacing w:line="480" w:lineRule="auto"/>
        <w:rPr>
          <w:sz w:val="24"/>
          <w:szCs w:val="24"/>
        </w:rPr>
      </w:pPr>
      <w:r w:rsidRPr="00F13BB1">
        <w:rPr>
          <w:sz w:val="24"/>
          <w:szCs w:val="24"/>
        </w:rPr>
        <w:t>The</w:t>
      </w:r>
      <w:r w:rsidR="00CA30CB" w:rsidRPr="00F13BB1">
        <w:rPr>
          <w:sz w:val="24"/>
          <w:szCs w:val="24"/>
        </w:rPr>
        <w:t xml:space="preserve"> prohibitive cost of the data collection required for </w:t>
      </w:r>
      <w:r w:rsidR="00885F37" w:rsidRPr="00F13BB1">
        <w:rPr>
          <w:sz w:val="24"/>
          <w:szCs w:val="24"/>
        </w:rPr>
        <w:t xml:space="preserve">Fafchamps </w:t>
      </w:r>
      <w:r w:rsidR="00885F37" w:rsidRPr="00F13BB1">
        <w:rPr>
          <w:i/>
          <w:iCs/>
          <w:sz w:val="24"/>
          <w:szCs w:val="24"/>
        </w:rPr>
        <w:t>et al.</w:t>
      </w:r>
      <w:r w:rsidR="00885F37" w:rsidRPr="00F13BB1">
        <w:rPr>
          <w:sz w:val="24"/>
          <w:szCs w:val="24"/>
        </w:rPr>
        <w:t>’s</w:t>
      </w:r>
      <w:r w:rsidR="00CA30CB" w:rsidRPr="00F13BB1">
        <w:rPr>
          <w:sz w:val="24"/>
          <w:szCs w:val="24"/>
        </w:rPr>
        <w:t xml:space="preserve"> approach</w:t>
      </w:r>
      <w:r w:rsidR="00885F37" w:rsidRPr="00F13BB1">
        <w:rPr>
          <w:sz w:val="24"/>
          <w:szCs w:val="24"/>
        </w:rPr>
        <w:t xml:space="preserve"> (2022)</w:t>
      </w:r>
      <w:r w:rsidR="00CA30CB" w:rsidRPr="00F13BB1">
        <w:rPr>
          <w:sz w:val="24"/>
          <w:szCs w:val="24"/>
        </w:rPr>
        <w:t xml:space="preserve"> means it is </w:t>
      </w:r>
      <w:r w:rsidRPr="00F13BB1">
        <w:rPr>
          <w:sz w:val="24"/>
          <w:szCs w:val="24"/>
        </w:rPr>
        <w:t xml:space="preserve">difficult to reproduce in </w:t>
      </w:r>
      <w:r w:rsidR="00CA30CB" w:rsidRPr="00F13BB1">
        <w:rPr>
          <w:sz w:val="24"/>
          <w:szCs w:val="24"/>
        </w:rPr>
        <w:t>other</w:t>
      </w:r>
      <w:r w:rsidR="00FF30DE" w:rsidRPr="00F13BB1">
        <w:rPr>
          <w:sz w:val="24"/>
          <w:szCs w:val="24"/>
        </w:rPr>
        <w:t xml:space="preserve"> settings</w:t>
      </w:r>
      <w:r w:rsidR="002A5158" w:rsidRPr="00F13BB1">
        <w:rPr>
          <w:sz w:val="24"/>
          <w:szCs w:val="24"/>
        </w:rPr>
        <w:t xml:space="preserve">. </w:t>
      </w:r>
      <w:r w:rsidR="002A5158" w:rsidRPr="00F13BB1">
        <w:rPr>
          <w:sz w:val="24"/>
          <w:szCs w:val="24"/>
        </w:rPr>
        <w:fldChar w:fldCharType="begin"/>
      </w:r>
      <w:r w:rsidR="002A5158" w:rsidRPr="00F13BB1">
        <w:rPr>
          <w:sz w:val="24"/>
          <w:szCs w:val="24"/>
        </w:rPr>
        <w:instrText xml:space="preserve"> ADDIN ZOTERO_ITEM CSL_CITATION {"citationID":"OjB5vXqL","properties":{"formattedCitation":"(Banerjee {\\i{}et al.}, 2013)","plainCitation":"(Banerjee et al., 2013)","noteIndex":0},"citationItems":[{"id":1980,"uris":["http://zotero.org/users/7916616/items/P3CXY765"],"itemData":{"id":1980,"type":"article-journal","container-title":"Science","DOI":"10.1126/science.1236498","issue":"6144","note":"publisher: American Association for the Advancement of Science","page":"1236498","source":"science.org (Atypon)","title":"The Diffusion of Microfinance","URL":"https://www.science.org/doi/full/10.1126/science.1236498","volume":"341","author":[{"family":"Banerjee","given":"Abhijit"},{"family":"Chandrasekhar","given":"Arun G."},{"family":"Duflo","given":"Esther"},{"family":"Jackson","given":"Matthew O."}],"accessed":{"date-parts":[["2022",10,25]]},"issued":{"date-parts":[["2013",7,26]]}}}],"schema":"https://github.com/citation-style-language/schema/raw/master/csl-citation.json"} </w:instrText>
      </w:r>
      <w:r w:rsidR="002A5158" w:rsidRPr="00F13BB1">
        <w:rPr>
          <w:sz w:val="24"/>
          <w:szCs w:val="24"/>
        </w:rPr>
        <w:fldChar w:fldCharType="separate"/>
      </w:r>
      <w:r w:rsidR="002A5158" w:rsidRPr="00F13BB1">
        <w:rPr>
          <w:rFonts w:ascii="Calibri" w:hAnsi="Calibri" w:cs="Calibri"/>
          <w:sz w:val="24"/>
          <w:szCs w:val="24"/>
        </w:rPr>
        <w:t xml:space="preserve">Banerjee </w:t>
      </w:r>
      <w:r w:rsidR="002A5158" w:rsidRPr="00F13BB1">
        <w:rPr>
          <w:rFonts w:ascii="Calibri" w:hAnsi="Calibri" w:cs="Calibri"/>
          <w:i/>
          <w:iCs/>
          <w:sz w:val="24"/>
          <w:szCs w:val="24"/>
        </w:rPr>
        <w:t>et al.</w:t>
      </w:r>
      <w:r w:rsidR="002A5158" w:rsidRPr="00F13BB1">
        <w:rPr>
          <w:rFonts w:ascii="Calibri" w:hAnsi="Calibri" w:cs="Calibri"/>
          <w:sz w:val="24"/>
          <w:szCs w:val="24"/>
        </w:rPr>
        <w:t>'s study (2013)</w:t>
      </w:r>
      <w:r w:rsidR="002A5158" w:rsidRPr="00F13BB1">
        <w:rPr>
          <w:sz w:val="24"/>
          <w:szCs w:val="24"/>
        </w:rPr>
        <w:fldChar w:fldCharType="end"/>
      </w:r>
      <w:r w:rsidR="002A5158" w:rsidRPr="00F13BB1">
        <w:rPr>
          <w:sz w:val="24"/>
          <w:szCs w:val="24"/>
        </w:rPr>
        <w:t xml:space="preserve"> </w:t>
      </w:r>
      <w:r w:rsidR="00CB3AA4" w:rsidRPr="00F13BB1">
        <w:rPr>
          <w:sz w:val="24"/>
          <w:szCs w:val="24"/>
        </w:rPr>
        <w:t>navigate this</w:t>
      </w:r>
      <w:r w:rsidR="007B7D94" w:rsidRPr="00F13BB1">
        <w:rPr>
          <w:sz w:val="24"/>
          <w:szCs w:val="24"/>
        </w:rPr>
        <w:t xml:space="preserve"> by</w:t>
      </w:r>
      <w:r w:rsidR="00FF30DE" w:rsidRPr="00F13BB1">
        <w:rPr>
          <w:sz w:val="24"/>
          <w:szCs w:val="24"/>
        </w:rPr>
        <w:t xml:space="preserve"> using </w:t>
      </w:r>
      <w:r w:rsidR="00305AA4" w:rsidRPr="00F13BB1">
        <w:rPr>
          <w:sz w:val="24"/>
          <w:szCs w:val="24"/>
        </w:rPr>
        <w:t>a Bayesian model to determine the flow of</w:t>
      </w:r>
      <w:r w:rsidR="008E67C5" w:rsidRPr="00F13BB1">
        <w:rPr>
          <w:sz w:val="24"/>
          <w:szCs w:val="24"/>
        </w:rPr>
        <w:t xml:space="preserve"> awareness</w:t>
      </w:r>
      <w:r w:rsidR="00E60D32" w:rsidRPr="00F13BB1">
        <w:rPr>
          <w:rStyle w:val="FootnoteReference"/>
          <w:sz w:val="24"/>
          <w:szCs w:val="24"/>
        </w:rPr>
        <w:footnoteReference w:id="13"/>
      </w:r>
      <w:r w:rsidR="00C075BC" w:rsidRPr="00F13BB1">
        <w:rPr>
          <w:sz w:val="24"/>
          <w:szCs w:val="24"/>
        </w:rPr>
        <w:t xml:space="preserve">, </w:t>
      </w:r>
      <w:r w:rsidR="00CA672F" w:rsidRPr="00F13BB1">
        <w:rPr>
          <w:sz w:val="24"/>
          <w:szCs w:val="24"/>
        </w:rPr>
        <w:t xml:space="preserve">whereby </w:t>
      </w:r>
      <w:r w:rsidR="00A858E1" w:rsidRPr="00F13BB1">
        <w:rPr>
          <w:sz w:val="24"/>
          <w:szCs w:val="24"/>
        </w:rPr>
        <w:t>the probability of information diffusion</w:t>
      </w:r>
      <w:r w:rsidR="007C4066" w:rsidRPr="00F13BB1">
        <w:rPr>
          <w:sz w:val="24"/>
          <w:szCs w:val="24"/>
        </w:rPr>
        <w:t xml:space="preserve"> on the technology</w:t>
      </w:r>
      <w:r w:rsidR="00A858E1" w:rsidRPr="00F13BB1">
        <w:rPr>
          <w:sz w:val="24"/>
          <w:szCs w:val="24"/>
        </w:rPr>
        <w:t xml:space="preserve"> </w:t>
      </w:r>
      <w:r w:rsidR="00E207FE" w:rsidRPr="00F13BB1">
        <w:rPr>
          <w:sz w:val="24"/>
          <w:szCs w:val="24"/>
        </w:rPr>
        <w:t xml:space="preserve">from </w:t>
      </w:r>
      <w:r w:rsidR="00E207FE" w:rsidRPr="00F13BB1">
        <w:rPr>
          <w:i/>
          <w:iCs/>
          <w:sz w:val="24"/>
          <w:szCs w:val="24"/>
        </w:rPr>
        <w:t xml:space="preserve">a </w:t>
      </w:r>
      <w:r w:rsidR="00E207FE" w:rsidRPr="00F13BB1">
        <w:rPr>
          <w:sz w:val="24"/>
          <w:szCs w:val="24"/>
        </w:rPr>
        <w:t xml:space="preserve">to </w:t>
      </w:r>
      <w:r w:rsidR="00E207FE" w:rsidRPr="00F13BB1">
        <w:rPr>
          <w:i/>
          <w:iCs/>
          <w:sz w:val="24"/>
          <w:szCs w:val="24"/>
        </w:rPr>
        <w:t xml:space="preserve">b </w:t>
      </w:r>
      <w:r w:rsidR="00CA672F" w:rsidRPr="00F13BB1">
        <w:rPr>
          <w:sz w:val="24"/>
          <w:szCs w:val="24"/>
        </w:rPr>
        <w:t xml:space="preserve">differs </w:t>
      </w:r>
      <w:r w:rsidR="00A858E1" w:rsidRPr="00F13BB1">
        <w:rPr>
          <w:sz w:val="24"/>
          <w:szCs w:val="24"/>
        </w:rPr>
        <w:t xml:space="preserve">according to whether </w:t>
      </w:r>
      <w:r w:rsidR="00A858E1" w:rsidRPr="00F13BB1">
        <w:rPr>
          <w:i/>
          <w:iCs/>
          <w:sz w:val="24"/>
          <w:szCs w:val="24"/>
        </w:rPr>
        <w:t>a</w:t>
      </w:r>
      <w:r w:rsidR="00832E28" w:rsidRPr="00F13BB1">
        <w:rPr>
          <w:sz w:val="24"/>
          <w:szCs w:val="24"/>
        </w:rPr>
        <w:t xml:space="preserve"> </w:t>
      </w:r>
      <w:r w:rsidR="00E60D32" w:rsidRPr="00F13BB1">
        <w:rPr>
          <w:sz w:val="24"/>
          <w:szCs w:val="24"/>
        </w:rPr>
        <w:t>uses</w:t>
      </w:r>
      <w:r w:rsidR="00CA672F" w:rsidRPr="00F13BB1">
        <w:rPr>
          <w:sz w:val="24"/>
          <w:szCs w:val="24"/>
        </w:rPr>
        <w:t xml:space="preserve"> </w:t>
      </w:r>
      <w:r w:rsidR="007C4066" w:rsidRPr="00F13BB1">
        <w:rPr>
          <w:sz w:val="24"/>
          <w:szCs w:val="24"/>
        </w:rPr>
        <w:t>it</w:t>
      </w:r>
      <w:r w:rsidR="00832E28" w:rsidRPr="00F13BB1">
        <w:rPr>
          <w:sz w:val="24"/>
          <w:szCs w:val="24"/>
        </w:rPr>
        <w:t xml:space="preserve">. </w:t>
      </w:r>
      <w:r w:rsidR="008464F5" w:rsidRPr="00F13BB1">
        <w:rPr>
          <w:sz w:val="24"/>
          <w:szCs w:val="24"/>
        </w:rPr>
        <w:t>Authors</w:t>
      </w:r>
      <w:r w:rsidR="00693A95" w:rsidRPr="00F13BB1">
        <w:rPr>
          <w:sz w:val="24"/>
          <w:szCs w:val="24"/>
        </w:rPr>
        <w:t xml:space="preserve"> use</w:t>
      </w:r>
      <w:r w:rsidR="009722A6" w:rsidRPr="00F13BB1">
        <w:rPr>
          <w:sz w:val="24"/>
          <w:szCs w:val="24"/>
        </w:rPr>
        <w:t>d detail</w:t>
      </w:r>
      <w:r w:rsidR="0081431B" w:rsidRPr="00F13BB1">
        <w:rPr>
          <w:sz w:val="24"/>
          <w:szCs w:val="24"/>
        </w:rPr>
        <w:t>ed</w:t>
      </w:r>
      <w:r w:rsidR="009722A6" w:rsidRPr="00F13BB1">
        <w:rPr>
          <w:sz w:val="24"/>
          <w:szCs w:val="24"/>
        </w:rPr>
        <w:t xml:space="preserve"> social network </w:t>
      </w:r>
      <w:r w:rsidR="00192D65" w:rsidRPr="00F13BB1">
        <w:rPr>
          <w:sz w:val="24"/>
          <w:szCs w:val="24"/>
        </w:rPr>
        <w:t xml:space="preserve">and household </w:t>
      </w:r>
      <w:r w:rsidR="009722A6" w:rsidRPr="00F13BB1">
        <w:rPr>
          <w:sz w:val="24"/>
          <w:szCs w:val="24"/>
        </w:rPr>
        <w:t>data to track</w:t>
      </w:r>
      <w:r w:rsidR="00F844C2" w:rsidRPr="00F13BB1">
        <w:rPr>
          <w:sz w:val="24"/>
          <w:szCs w:val="24"/>
        </w:rPr>
        <w:t xml:space="preserve"> the spread of microfinance</w:t>
      </w:r>
      <w:r w:rsidR="009722A6" w:rsidRPr="00F13BB1">
        <w:rPr>
          <w:sz w:val="24"/>
          <w:szCs w:val="24"/>
        </w:rPr>
        <w:t xml:space="preserve"> </w:t>
      </w:r>
      <w:r w:rsidR="00CE3CAF" w:rsidRPr="00F13BB1">
        <w:rPr>
          <w:sz w:val="24"/>
          <w:szCs w:val="24"/>
        </w:rPr>
        <w:t>awareness</w:t>
      </w:r>
      <w:r w:rsidR="009722A6" w:rsidRPr="00F13BB1">
        <w:rPr>
          <w:sz w:val="24"/>
          <w:szCs w:val="24"/>
        </w:rPr>
        <w:t xml:space="preserve"> and use in Indian villages</w:t>
      </w:r>
      <w:r w:rsidR="00F844C2" w:rsidRPr="00F13BB1">
        <w:rPr>
          <w:sz w:val="24"/>
          <w:szCs w:val="24"/>
        </w:rPr>
        <w:t>,</w:t>
      </w:r>
      <w:r w:rsidR="00E07216" w:rsidRPr="00F13BB1">
        <w:rPr>
          <w:sz w:val="24"/>
          <w:szCs w:val="24"/>
        </w:rPr>
        <w:t xml:space="preserve"> approximating values by bootstrapping and optimising the model’s match to the observed spread. T</w:t>
      </w:r>
      <w:r w:rsidR="00861320" w:rsidRPr="00F13BB1">
        <w:rPr>
          <w:sz w:val="24"/>
          <w:szCs w:val="24"/>
        </w:rPr>
        <w:t xml:space="preserve">hey </w:t>
      </w:r>
      <w:r w:rsidR="000B4F25" w:rsidRPr="00F13BB1">
        <w:rPr>
          <w:sz w:val="24"/>
          <w:szCs w:val="24"/>
        </w:rPr>
        <w:t>corroborate</w:t>
      </w:r>
      <w:r w:rsidR="00861320" w:rsidRPr="00F13BB1">
        <w:rPr>
          <w:sz w:val="24"/>
          <w:szCs w:val="24"/>
        </w:rPr>
        <w:t xml:space="preserve"> </w:t>
      </w:r>
      <w:r w:rsidR="008464F5" w:rsidRPr="00F13BB1">
        <w:rPr>
          <w:sz w:val="24"/>
          <w:szCs w:val="24"/>
        </w:rPr>
        <w:t>that</w:t>
      </w:r>
      <w:r w:rsidR="00717430" w:rsidRPr="00F13BB1">
        <w:rPr>
          <w:sz w:val="24"/>
          <w:szCs w:val="24"/>
        </w:rPr>
        <w:t xml:space="preserve"> </w:t>
      </w:r>
      <w:r w:rsidR="00CE3CAF" w:rsidRPr="00F13BB1">
        <w:rPr>
          <w:sz w:val="24"/>
          <w:szCs w:val="24"/>
        </w:rPr>
        <w:t>awareness</w:t>
      </w:r>
      <w:r w:rsidR="00717430" w:rsidRPr="00F13BB1">
        <w:rPr>
          <w:sz w:val="24"/>
          <w:szCs w:val="24"/>
        </w:rPr>
        <w:t xml:space="preserve"> of technology i</w:t>
      </w:r>
      <w:r w:rsidR="0081431B" w:rsidRPr="00F13BB1">
        <w:rPr>
          <w:sz w:val="24"/>
          <w:szCs w:val="24"/>
        </w:rPr>
        <w:t>s</w:t>
      </w:r>
      <w:r w:rsidR="00717430" w:rsidRPr="00F13BB1">
        <w:rPr>
          <w:sz w:val="24"/>
          <w:szCs w:val="24"/>
        </w:rPr>
        <w:t xml:space="preserve"> more likely to spread between two individuals when one is an adopter,</w:t>
      </w:r>
      <w:r w:rsidR="00657D2E" w:rsidRPr="00F13BB1">
        <w:rPr>
          <w:sz w:val="24"/>
          <w:szCs w:val="24"/>
        </w:rPr>
        <w:t xml:space="preserve"> </w:t>
      </w:r>
      <w:r w:rsidR="007C4066" w:rsidRPr="00F13BB1">
        <w:rPr>
          <w:sz w:val="24"/>
          <w:szCs w:val="24"/>
        </w:rPr>
        <w:t xml:space="preserve">and </w:t>
      </w:r>
      <w:r w:rsidR="00717430" w:rsidRPr="00F13BB1">
        <w:rPr>
          <w:sz w:val="24"/>
          <w:szCs w:val="24"/>
        </w:rPr>
        <w:t>again</w:t>
      </w:r>
      <w:r w:rsidR="00797ABC" w:rsidRPr="00F13BB1">
        <w:rPr>
          <w:sz w:val="24"/>
          <w:szCs w:val="24"/>
        </w:rPr>
        <w:t xml:space="preserve"> no significant pressure effect is detected</w:t>
      </w:r>
      <w:r w:rsidR="00937BA9" w:rsidRPr="00F13BB1">
        <w:rPr>
          <w:sz w:val="24"/>
          <w:szCs w:val="24"/>
        </w:rPr>
        <w:t>; thus</w:t>
      </w:r>
      <w:r w:rsidR="002F28D5" w:rsidRPr="00F13BB1">
        <w:rPr>
          <w:sz w:val="24"/>
          <w:szCs w:val="24"/>
        </w:rPr>
        <w:t>,</w:t>
      </w:r>
      <w:r w:rsidR="00937BA9" w:rsidRPr="00F13BB1">
        <w:rPr>
          <w:sz w:val="24"/>
          <w:szCs w:val="24"/>
        </w:rPr>
        <w:t xml:space="preserve"> they provide insight into </w:t>
      </w:r>
      <w:r w:rsidR="005128DB" w:rsidRPr="00F13BB1">
        <w:rPr>
          <w:sz w:val="24"/>
          <w:szCs w:val="24"/>
        </w:rPr>
        <w:t xml:space="preserve">both </w:t>
      </w:r>
      <w:r w:rsidR="00937BA9" w:rsidRPr="00F13BB1">
        <w:rPr>
          <w:i/>
          <w:iCs/>
          <w:sz w:val="24"/>
          <w:szCs w:val="24"/>
        </w:rPr>
        <w:t>how</w:t>
      </w:r>
      <w:r w:rsidR="00937BA9" w:rsidRPr="00F13BB1">
        <w:rPr>
          <w:sz w:val="24"/>
          <w:szCs w:val="24"/>
        </w:rPr>
        <w:t xml:space="preserve"> and </w:t>
      </w:r>
      <w:r w:rsidR="00937BA9" w:rsidRPr="00F13BB1">
        <w:rPr>
          <w:i/>
          <w:iCs/>
          <w:sz w:val="24"/>
          <w:szCs w:val="24"/>
        </w:rPr>
        <w:t xml:space="preserve">when </w:t>
      </w:r>
      <w:r w:rsidR="00937BA9" w:rsidRPr="00F13BB1">
        <w:rPr>
          <w:sz w:val="24"/>
          <w:szCs w:val="24"/>
        </w:rPr>
        <w:t>network effects operate</w:t>
      </w:r>
      <w:r w:rsidR="00797ABC" w:rsidRPr="00F13BB1">
        <w:rPr>
          <w:sz w:val="24"/>
          <w:szCs w:val="24"/>
        </w:rPr>
        <w:t>.</w:t>
      </w:r>
      <w:r w:rsidR="009722A6" w:rsidRPr="00F13BB1">
        <w:rPr>
          <w:sz w:val="24"/>
          <w:szCs w:val="24"/>
        </w:rPr>
        <w:t xml:space="preserve"> </w:t>
      </w:r>
    </w:p>
    <w:p w14:paraId="48F4C8A7" w14:textId="77777777" w:rsidR="00156462" w:rsidRPr="00F13BB1" w:rsidRDefault="00156462" w:rsidP="007A3187">
      <w:pPr>
        <w:spacing w:line="480" w:lineRule="auto"/>
        <w:rPr>
          <w:sz w:val="24"/>
          <w:szCs w:val="24"/>
        </w:rPr>
      </w:pPr>
    </w:p>
    <w:p w14:paraId="7D79ABEF" w14:textId="27E6738C" w:rsidR="0059540C" w:rsidRPr="00F13BB1" w:rsidRDefault="00156462" w:rsidP="007A3187">
      <w:pPr>
        <w:spacing w:line="480" w:lineRule="auto"/>
        <w:rPr>
          <w:sz w:val="24"/>
          <w:szCs w:val="24"/>
        </w:rPr>
      </w:pPr>
      <w:r w:rsidRPr="00F13BB1">
        <w:rPr>
          <w:sz w:val="24"/>
          <w:szCs w:val="24"/>
        </w:rPr>
        <w:t>Wordcount: 1</w:t>
      </w:r>
      <w:r w:rsidR="00032D36" w:rsidRPr="00F13BB1">
        <w:rPr>
          <w:sz w:val="24"/>
          <w:szCs w:val="24"/>
        </w:rPr>
        <w:t>499</w:t>
      </w:r>
      <w:r w:rsidR="0059540C" w:rsidRPr="00F13BB1">
        <w:rPr>
          <w:sz w:val="24"/>
          <w:szCs w:val="24"/>
        </w:rPr>
        <w:br w:type="page"/>
      </w:r>
    </w:p>
    <w:p w14:paraId="39A6AAD5" w14:textId="77777777" w:rsidR="00465DBC" w:rsidRDefault="0059540C" w:rsidP="007A3187">
      <w:pPr>
        <w:pStyle w:val="Heading1"/>
        <w:spacing w:line="480" w:lineRule="auto"/>
      </w:pPr>
      <w:r>
        <w:lastRenderedPageBreak/>
        <w:t>Reference</w:t>
      </w:r>
      <w:r w:rsidR="00465DBC">
        <w:t>s</w:t>
      </w:r>
    </w:p>
    <w:p w14:paraId="088976C0" w14:textId="77777777" w:rsidR="00465DBC" w:rsidRPr="00F13BB1" w:rsidRDefault="00465DBC" w:rsidP="007A3187">
      <w:pPr>
        <w:pStyle w:val="Bibliography"/>
        <w:spacing w:line="480" w:lineRule="auto"/>
        <w:rPr>
          <w:rFonts w:ascii="Calibri" w:hAnsi="Calibri" w:cs="Calibri"/>
          <w:sz w:val="24"/>
          <w:szCs w:val="24"/>
        </w:rPr>
      </w:pPr>
      <w:r w:rsidRPr="00F13BB1">
        <w:rPr>
          <w:sz w:val="24"/>
          <w:szCs w:val="24"/>
        </w:rPr>
        <w:fldChar w:fldCharType="begin"/>
      </w:r>
      <w:r w:rsidRPr="00F13BB1">
        <w:rPr>
          <w:sz w:val="24"/>
          <w:szCs w:val="24"/>
        </w:rPr>
        <w:instrText xml:space="preserve"> ADDIN ZOTERO_BIBL {"uncited":[],"omitted":[],"custom":[]} CSL_BIBLIOGRAPHY </w:instrText>
      </w:r>
      <w:r w:rsidRPr="00F13BB1">
        <w:rPr>
          <w:sz w:val="24"/>
          <w:szCs w:val="24"/>
        </w:rPr>
        <w:fldChar w:fldCharType="separate"/>
      </w:r>
      <w:r w:rsidRPr="00F13BB1">
        <w:rPr>
          <w:rFonts w:ascii="Calibri" w:hAnsi="Calibri" w:cs="Calibri"/>
          <w:sz w:val="24"/>
          <w:szCs w:val="24"/>
        </w:rPr>
        <w:t xml:space="preserve">Banerjee, A. </w:t>
      </w:r>
      <w:r w:rsidRPr="00F13BB1">
        <w:rPr>
          <w:rFonts w:ascii="Calibri" w:hAnsi="Calibri" w:cs="Calibri"/>
          <w:i/>
          <w:iCs/>
          <w:sz w:val="24"/>
          <w:szCs w:val="24"/>
        </w:rPr>
        <w:t>et al.</w:t>
      </w:r>
      <w:r w:rsidRPr="00F13BB1">
        <w:rPr>
          <w:rFonts w:ascii="Calibri" w:hAnsi="Calibri" w:cs="Calibri"/>
          <w:sz w:val="24"/>
          <w:szCs w:val="24"/>
        </w:rPr>
        <w:t xml:space="preserve"> (2013) ‘The Diffusion of Microfinance’, </w:t>
      </w:r>
      <w:r w:rsidRPr="00F13BB1">
        <w:rPr>
          <w:rFonts w:ascii="Calibri" w:hAnsi="Calibri" w:cs="Calibri"/>
          <w:i/>
          <w:iCs/>
          <w:sz w:val="24"/>
          <w:szCs w:val="24"/>
        </w:rPr>
        <w:t>Science</w:t>
      </w:r>
      <w:r w:rsidRPr="00F13BB1">
        <w:rPr>
          <w:rFonts w:ascii="Calibri" w:hAnsi="Calibri" w:cs="Calibri"/>
          <w:sz w:val="24"/>
          <w:szCs w:val="24"/>
        </w:rPr>
        <w:t>, 341(6144), p. 1236498. Available at: https://doi.org/10.1126/science.1236498.</w:t>
      </w:r>
    </w:p>
    <w:p w14:paraId="1C9D61F1"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Barham, B.L. </w:t>
      </w:r>
      <w:r w:rsidRPr="00F13BB1">
        <w:rPr>
          <w:rFonts w:ascii="Calibri" w:hAnsi="Calibri" w:cs="Calibri"/>
          <w:i/>
          <w:iCs/>
          <w:sz w:val="24"/>
          <w:szCs w:val="24"/>
        </w:rPr>
        <w:t>et al.</w:t>
      </w:r>
      <w:r w:rsidRPr="00F13BB1">
        <w:rPr>
          <w:rFonts w:ascii="Calibri" w:hAnsi="Calibri" w:cs="Calibri"/>
          <w:sz w:val="24"/>
          <w:szCs w:val="24"/>
        </w:rPr>
        <w:t xml:space="preserve"> (2018) ‘Receptiveness to advice, cognitive ability, and technology adoption’, </w:t>
      </w:r>
      <w:r w:rsidRPr="00F13BB1">
        <w:rPr>
          <w:rFonts w:ascii="Calibri" w:hAnsi="Calibri" w:cs="Calibri"/>
          <w:i/>
          <w:iCs/>
          <w:sz w:val="24"/>
          <w:szCs w:val="24"/>
        </w:rPr>
        <w:t>Journal of Economic Behavior &amp; Organization</w:t>
      </w:r>
      <w:r w:rsidRPr="00F13BB1">
        <w:rPr>
          <w:rFonts w:ascii="Calibri" w:hAnsi="Calibri" w:cs="Calibri"/>
          <w:sz w:val="24"/>
          <w:szCs w:val="24"/>
        </w:rPr>
        <w:t>, 149, pp. 239–268. Available at: https://doi.org/10.1016/j.jebo.2017.12.025.</w:t>
      </w:r>
    </w:p>
    <w:p w14:paraId="5CC32B3F"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Fafchamps, M., Söderbom, M. and van den Boogart, M. (2022) ‘Adoption with Social Learning and Network Externalities*’, </w:t>
      </w:r>
      <w:r w:rsidRPr="00F13BB1">
        <w:rPr>
          <w:rFonts w:ascii="Calibri" w:hAnsi="Calibri" w:cs="Calibri"/>
          <w:i/>
          <w:iCs/>
          <w:sz w:val="24"/>
          <w:szCs w:val="24"/>
        </w:rPr>
        <w:t>Oxford Bulletin of Economics and Statistics</w:t>
      </w:r>
      <w:r w:rsidRPr="00F13BB1">
        <w:rPr>
          <w:rFonts w:ascii="Calibri" w:hAnsi="Calibri" w:cs="Calibri"/>
          <w:sz w:val="24"/>
          <w:szCs w:val="24"/>
        </w:rPr>
        <w:t>, n/a(n/a). Available at: https://doi.org/10.1111/obes.12491.</w:t>
      </w:r>
    </w:p>
    <w:p w14:paraId="465F01C7"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Fisher, M. </w:t>
      </w:r>
      <w:r w:rsidRPr="00F13BB1">
        <w:rPr>
          <w:rFonts w:ascii="Calibri" w:hAnsi="Calibri" w:cs="Calibri"/>
          <w:i/>
          <w:iCs/>
          <w:sz w:val="24"/>
          <w:szCs w:val="24"/>
        </w:rPr>
        <w:t>et al.</w:t>
      </w:r>
      <w:r w:rsidRPr="00F13BB1">
        <w:rPr>
          <w:rFonts w:ascii="Calibri" w:hAnsi="Calibri" w:cs="Calibri"/>
          <w:sz w:val="24"/>
          <w:szCs w:val="24"/>
        </w:rPr>
        <w:t xml:space="preserve"> (2018) ‘Awareness and adoption of conservation agriculture in Malawi: what difference can farmer-to-farmer extension make?’, </w:t>
      </w:r>
      <w:r w:rsidRPr="00F13BB1">
        <w:rPr>
          <w:rFonts w:ascii="Calibri" w:hAnsi="Calibri" w:cs="Calibri"/>
          <w:i/>
          <w:iCs/>
          <w:sz w:val="24"/>
          <w:szCs w:val="24"/>
        </w:rPr>
        <w:t>International Journal of Agricultural Sustainability</w:t>
      </w:r>
      <w:r w:rsidRPr="00F13BB1">
        <w:rPr>
          <w:rFonts w:ascii="Calibri" w:hAnsi="Calibri" w:cs="Calibri"/>
          <w:sz w:val="24"/>
          <w:szCs w:val="24"/>
        </w:rPr>
        <w:t>, 16(3), pp. 310–325. Available at: https://doi.org/10.1080/14735903.2018.1472411.</w:t>
      </w:r>
    </w:p>
    <w:p w14:paraId="45D40CBB"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Genius, M. </w:t>
      </w:r>
      <w:r w:rsidRPr="00F13BB1">
        <w:rPr>
          <w:rFonts w:ascii="Calibri" w:hAnsi="Calibri" w:cs="Calibri"/>
          <w:i/>
          <w:iCs/>
          <w:sz w:val="24"/>
          <w:szCs w:val="24"/>
        </w:rPr>
        <w:t>et al.</w:t>
      </w:r>
      <w:r w:rsidRPr="00F13BB1">
        <w:rPr>
          <w:rFonts w:ascii="Calibri" w:hAnsi="Calibri" w:cs="Calibri"/>
          <w:sz w:val="24"/>
          <w:szCs w:val="24"/>
        </w:rPr>
        <w:t xml:space="preserve"> (2014) ‘Information Transmission in Irrigation Technology Adoption and Diffusion: Social Learning, Extension Services, and Spatial Effects’, </w:t>
      </w:r>
      <w:r w:rsidRPr="00F13BB1">
        <w:rPr>
          <w:rFonts w:ascii="Calibri" w:hAnsi="Calibri" w:cs="Calibri"/>
          <w:i/>
          <w:iCs/>
          <w:sz w:val="24"/>
          <w:szCs w:val="24"/>
        </w:rPr>
        <w:t>American Journal of Agricultural Economics</w:t>
      </w:r>
      <w:r w:rsidRPr="00F13BB1">
        <w:rPr>
          <w:rFonts w:ascii="Calibri" w:hAnsi="Calibri" w:cs="Calibri"/>
          <w:sz w:val="24"/>
          <w:szCs w:val="24"/>
        </w:rPr>
        <w:t>, 96(1), pp. 328–344. Available at: https://doi.org/10.1093/ajae/aat054.</w:t>
      </w:r>
    </w:p>
    <w:p w14:paraId="72F928D0"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Kim, D.A. </w:t>
      </w:r>
      <w:r w:rsidRPr="00F13BB1">
        <w:rPr>
          <w:rFonts w:ascii="Calibri" w:hAnsi="Calibri" w:cs="Calibri"/>
          <w:i/>
          <w:iCs/>
          <w:sz w:val="24"/>
          <w:szCs w:val="24"/>
        </w:rPr>
        <w:t>et al.</w:t>
      </w:r>
      <w:r w:rsidRPr="00F13BB1">
        <w:rPr>
          <w:rFonts w:ascii="Calibri" w:hAnsi="Calibri" w:cs="Calibri"/>
          <w:sz w:val="24"/>
          <w:szCs w:val="24"/>
        </w:rPr>
        <w:t xml:space="preserve"> (2015) ‘Social network targeting to maximise population behaviour change: a cluster randomised controlled trial’, </w:t>
      </w:r>
      <w:r w:rsidRPr="00F13BB1">
        <w:rPr>
          <w:rFonts w:ascii="Calibri" w:hAnsi="Calibri" w:cs="Calibri"/>
          <w:i/>
          <w:iCs/>
          <w:sz w:val="24"/>
          <w:szCs w:val="24"/>
        </w:rPr>
        <w:t>The Lancet</w:t>
      </w:r>
      <w:r w:rsidRPr="00F13BB1">
        <w:rPr>
          <w:rFonts w:ascii="Calibri" w:hAnsi="Calibri" w:cs="Calibri"/>
          <w:sz w:val="24"/>
          <w:szCs w:val="24"/>
        </w:rPr>
        <w:t>, 386(9989), pp. 145–153. Available at: https://doi.org/10.1016/S0140-6736(15)60095-2.</w:t>
      </w:r>
    </w:p>
    <w:p w14:paraId="5B9FAD52"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lastRenderedPageBreak/>
        <w:t xml:space="preserve">Krishnan, P. and Patnam, M. (2014) ‘Neighbors and Extension Agents in Ethiopia: Who Matters More for Technology Adoption?’, </w:t>
      </w:r>
      <w:r w:rsidRPr="00F13BB1">
        <w:rPr>
          <w:rFonts w:ascii="Calibri" w:hAnsi="Calibri" w:cs="Calibri"/>
          <w:i/>
          <w:iCs/>
          <w:sz w:val="24"/>
          <w:szCs w:val="24"/>
        </w:rPr>
        <w:t>American Journal of Agricultural Economics</w:t>
      </w:r>
      <w:r w:rsidRPr="00F13BB1">
        <w:rPr>
          <w:rFonts w:ascii="Calibri" w:hAnsi="Calibri" w:cs="Calibri"/>
          <w:sz w:val="24"/>
          <w:szCs w:val="24"/>
        </w:rPr>
        <w:t>, 96(1), pp. 308–327. Available at: https://doi.org/10.1093/ajae/aat017.</w:t>
      </w:r>
    </w:p>
    <w:p w14:paraId="17C90313"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Maertens, A. (2017) ‘Who Cares What Others Think (or Do)? Social Learning and Social Pressures in Cotton Farming in India’, </w:t>
      </w:r>
      <w:r w:rsidRPr="00F13BB1">
        <w:rPr>
          <w:rFonts w:ascii="Calibri" w:hAnsi="Calibri" w:cs="Calibri"/>
          <w:i/>
          <w:iCs/>
          <w:sz w:val="24"/>
          <w:szCs w:val="24"/>
        </w:rPr>
        <w:t>American Journal of Agricultural Economics</w:t>
      </w:r>
      <w:r w:rsidRPr="00F13BB1">
        <w:rPr>
          <w:rFonts w:ascii="Calibri" w:hAnsi="Calibri" w:cs="Calibri"/>
          <w:sz w:val="24"/>
          <w:szCs w:val="24"/>
        </w:rPr>
        <w:t>, 99(4), pp. 988–1007. Available at: https://doi.org/10.1093/ajae/aaw098.</w:t>
      </w:r>
    </w:p>
    <w:p w14:paraId="1587B30A"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Maertens, A. and Barrett, C.B. (2013) ‘Measuring Social Networks’ Effects on Agricultural Technology Adoption’, </w:t>
      </w:r>
      <w:r w:rsidRPr="00F13BB1">
        <w:rPr>
          <w:rFonts w:ascii="Calibri" w:hAnsi="Calibri" w:cs="Calibri"/>
          <w:i/>
          <w:iCs/>
          <w:sz w:val="24"/>
          <w:szCs w:val="24"/>
        </w:rPr>
        <w:t>American Journal of Agricultural Economics</w:t>
      </w:r>
      <w:r w:rsidRPr="00F13BB1">
        <w:rPr>
          <w:rFonts w:ascii="Calibri" w:hAnsi="Calibri" w:cs="Calibri"/>
          <w:sz w:val="24"/>
          <w:szCs w:val="24"/>
        </w:rPr>
        <w:t>, 95(2), pp. 353–359. Available at: https://doi.org/10.1093/ajae/aas049.</w:t>
      </w:r>
    </w:p>
    <w:p w14:paraId="11EC56E2"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Manski, C.F. (1993) ‘Identification of Endogenous Social Effects: The Reflection Problem’, </w:t>
      </w:r>
      <w:r w:rsidRPr="00F13BB1">
        <w:rPr>
          <w:rFonts w:ascii="Calibri" w:hAnsi="Calibri" w:cs="Calibri"/>
          <w:i/>
          <w:iCs/>
          <w:sz w:val="24"/>
          <w:szCs w:val="24"/>
        </w:rPr>
        <w:t>The Review of Economic Studies</w:t>
      </w:r>
      <w:r w:rsidRPr="00F13BB1">
        <w:rPr>
          <w:rFonts w:ascii="Calibri" w:hAnsi="Calibri" w:cs="Calibri"/>
          <w:sz w:val="24"/>
          <w:szCs w:val="24"/>
        </w:rPr>
        <w:t>, 60(3), pp. 531–542. Available at: https://doi.org/10.2307/2298123.</w:t>
      </w:r>
    </w:p>
    <w:p w14:paraId="32CDE42F"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Ochieng, W., Silvert, C.J. and Diaz, J. (2022) ‘Exploring the Impacts of Lead Farmer Selection on Community Social Learning: The case of Farmer-to-Farmer Model: A Review of Literature’, </w:t>
      </w:r>
      <w:r w:rsidRPr="00F13BB1">
        <w:rPr>
          <w:rFonts w:ascii="Calibri" w:hAnsi="Calibri" w:cs="Calibri"/>
          <w:i/>
          <w:iCs/>
          <w:sz w:val="24"/>
          <w:szCs w:val="24"/>
        </w:rPr>
        <w:t>Journal of International Agricultural and Extension Education</w:t>
      </w:r>
      <w:r w:rsidRPr="00F13BB1">
        <w:rPr>
          <w:rFonts w:ascii="Calibri" w:hAnsi="Calibri" w:cs="Calibri"/>
          <w:sz w:val="24"/>
          <w:szCs w:val="24"/>
        </w:rPr>
        <w:t>, 29(3), pp. 7–31. Available at: https://doi.org/10.4148/2831-5960.1022.</w:t>
      </w:r>
    </w:p>
    <w:p w14:paraId="1FB7AEE0"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Scott, J. (2012) </w:t>
      </w:r>
      <w:r w:rsidRPr="00F13BB1">
        <w:rPr>
          <w:rFonts w:ascii="Calibri" w:hAnsi="Calibri" w:cs="Calibri"/>
          <w:i/>
          <w:iCs/>
          <w:sz w:val="24"/>
          <w:szCs w:val="24"/>
        </w:rPr>
        <w:t>What is Social Network Analysis?</w:t>
      </w:r>
      <w:r w:rsidRPr="00F13BB1">
        <w:rPr>
          <w:rFonts w:ascii="Calibri" w:hAnsi="Calibri" w:cs="Calibri"/>
          <w:sz w:val="24"/>
          <w:szCs w:val="24"/>
        </w:rPr>
        <w:t xml:space="preserve"> Bloomsbury Academic. Available at: https://doi.org/10.5040/9781849668187.</w:t>
      </w:r>
    </w:p>
    <w:p w14:paraId="64BC8C02"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Takahashi, K., Muraoka, R. and Otsuka, K. (2020) ‘Technology adoption, impact, and extension in developing countries’ agriculture: A review of the recent literature’, </w:t>
      </w:r>
      <w:r w:rsidRPr="00F13BB1">
        <w:rPr>
          <w:rFonts w:ascii="Calibri" w:hAnsi="Calibri" w:cs="Calibri"/>
          <w:i/>
          <w:iCs/>
          <w:sz w:val="24"/>
          <w:szCs w:val="24"/>
        </w:rPr>
        <w:lastRenderedPageBreak/>
        <w:t>Agricultural Economics</w:t>
      </w:r>
      <w:r w:rsidRPr="00F13BB1">
        <w:rPr>
          <w:rFonts w:ascii="Calibri" w:hAnsi="Calibri" w:cs="Calibri"/>
          <w:sz w:val="24"/>
          <w:szCs w:val="24"/>
        </w:rPr>
        <w:t>, 51(1), pp. 31–45. Available at: https://doi.org/10.1111/agec.12539.</w:t>
      </w:r>
    </w:p>
    <w:p w14:paraId="30541141" w14:textId="77777777" w:rsidR="00465DBC" w:rsidRPr="00F13BB1" w:rsidRDefault="00465DBC" w:rsidP="007A3187">
      <w:pPr>
        <w:pStyle w:val="Bibliography"/>
        <w:spacing w:line="480" w:lineRule="auto"/>
        <w:rPr>
          <w:rFonts w:ascii="Calibri" w:hAnsi="Calibri" w:cs="Calibri"/>
          <w:sz w:val="24"/>
          <w:szCs w:val="24"/>
        </w:rPr>
      </w:pPr>
      <w:r w:rsidRPr="00F13BB1">
        <w:rPr>
          <w:rFonts w:ascii="Calibri" w:hAnsi="Calibri" w:cs="Calibri"/>
          <w:sz w:val="24"/>
          <w:szCs w:val="24"/>
        </w:rPr>
        <w:t xml:space="preserve">Varshney, D. </w:t>
      </w:r>
      <w:r w:rsidRPr="00F13BB1">
        <w:rPr>
          <w:rFonts w:ascii="Calibri" w:hAnsi="Calibri" w:cs="Calibri"/>
          <w:i/>
          <w:iCs/>
          <w:sz w:val="24"/>
          <w:szCs w:val="24"/>
        </w:rPr>
        <w:t>et al.</w:t>
      </w:r>
      <w:r w:rsidRPr="00F13BB1">
        <w:rPr>
          <w:rFonts w:ascii="Calibri" w:hAnsi="Calibri" w:cs="Calibri"/>
          <w:sz w:val="24"/>
          <w:szCs w:val="24"/>
        </w:rPr>
        <w:t xml:space="preserve"> (2022) ‘Social networks, heterogeneity, and adoption of technologies: Evidence from India’, </w:t>
      </w:r>
      <w:r w:rsidRPr="00F13BB1">
        <w:rPr>
          <w:rFonts w:ascii="Calibri" w:hAnsi="Calibri" w:cs="Calibri"/>
          <w:i/>
          <w:iCs/>
          <w:sz w:val="24"/>
          <w:szCs w:val="24"/>
        </w:rPr>
        <w:t>Food Policy</w:t>
      </w:r>
      <w:r w:rsidRPr="00F13BB1">
        <w:rPr>
          <w:rFonts w:ascii="Calibri" w:hAnsi="Calibri" w:cs="Calibri"/>
          <w:sz w:val="24"/>
          <w:szCs w:val="24"/>
        </w:rPr>
        <w:t>, 112, p. 102360. Available at: https://doi.org/10.1016/j.foodpol.2022.102360.</w:t>
      </w:r>
    </w:p>
    <w:p w14:paraId="70DE656E" w14:textId="23E4C6BB" w:rsidR="0059540C" w:rsidRPr="00F13BB1" w:rsidRDefault="00465DBC" w:rsidP="007A3187">
      <w:pPr>
        <w:spacing w:line="480" w:lineRule="auto"/>
        <w:rPr>
          <w:sz w:val="24"/>
          <w:szCs w:val="24"/>
        </w:rPr>
      </w:pPr>
      <w:r w:rsidRPr="00F13BB1">
        <w:rPr>
          <w:sz w:val="24"/>
          <w:szCs w:val="24"/>
        </w:rPr>
        <w:fldChar w:fldCharType="end"/>
      </w:r>
    </w:p>
    <w:sectPr w:rsidR="0059540C" w:rsidRPr="00F13BB1" w:rsidSect="007A318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51E6A" w14:textId="77777777" w:rsidR="008C3B87" w:rsidRDefault="008C3B87" w:rsidP="00BA1B7A">
      <w:pPr>
        <w:spacing w:after="0" w:line="240" w:lineRule="auto"/>
      </w:pPr>
      <w:r>
        <w:separator/>
      </w:r>
    </w:p>
  </w:endnote>
  <w:endnote w:type="continuationSeparator" w:id="0">
    <w:p w14:paraId="0C032D93" w14:textId="77777777" w:rsidR="008C3B87" w:rsidRDefault="008C3B87" w:rsidP="00BA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5E385" w14:textId="77777777" w:rsidR="008C3B87" w:rsidRDefault="008C3B87" w:rsidP="00BA1B7A">
      <w:pPr>
        <w:spacing w:after="0" w:line="240" w:lineRule="auto"/>
      </w:pPr>
      <w:r>
        <w:separator/>
      </w:r>
    </w:p>
  </w:footnote>
  <w:footnote w:type="continuationSeparator" w:id="0">
    <w:p w14:paraId="397BF7CA" w14:textId="77777777" w:rsidR="008C3B87" w:rsidRDefault="008C3B87" w:rsidP="00BA1B7A">
      <w:pPr>
        <w:spacing w:after="0" w:line="240" w:lineRule="auto"/>
      </w:pPr>
      <w:r>
        <w:continuationSeparator/>
      </w:r>
    </w:p>
  </w:footnote>
  <w:footnote w:id="1">
    <w:p w14:paraId="6B7247AA" w14:textId="4321D1AD" w:rsidR="006A0BA2" w:rsidRDefault="006A0BA2">
      <w:pPr>
        <w:pStyle w:val="FootnoteText"/>
      </w:pPr>
      <w:r w:rsidRPr="00A8299A">
        <w:rPr>
          <w:rStyle w:val="FootnoteReference"/>
        </w:rPr>
        <w:footnoteRef/>
      </w:r>
      <w:r>
        <w:t xml:space="preserve"> A method of extension whereby </w:t>
      </w:r>
      <w:r w:rsidR="00E81784">
        <w:t>l</w:t>
      </w:r>
      <w:r w:rsidR="009440DD">
        <w:t>ead</w:t>
      </w:r>
      <w:r w:rsidR="00E81784">
        <w:t>-</w:t>
      </w:r>
      <w:r w:rsidR="009440DD">
        <w:t>farmers</w:t>
      </w:r>
      <w:r w:rsidR="00CF4872">
        <w:t xml:space="preserve"> are trained and allowed to experiment with a technology,</w:t>
      </w:r>
      <w:r w:rsidR="00D1734F">
        <w:t xml:space="preserve"> subsequently</w:t>
      </w:r>
      <w:r w:rsidR="00EA4598">
        <w:t xml:space="preserve"> sharing it with their network </w:t>
      </w:r>
      <w:r w:rsidR="00BA2DDA">
        <w:fldChar w:fldCharType="begin"/>
      </w:r>
      <w:r w:rsidR="00107127">
        <w:instrText xml:space="preserve"> ADDIN ZOTERO_ITEM CSL_CITATION {"citationID":"UjPZ1jeC","properties":{"formattedCitation":"(Ochieng, Silvert and Diaz, 2022, p. 9)","plainCitation":"(Ochieng, Silvert and Diaz, 2022, p. 9)","dontUpdate":true,"noteIndex":6},"citationItems":[{"id":1285,"uris":["http://zotero.org/users/7916616/items/VM46A9BK"],"itemData":{"id":1285,"type":"article-journal","abstract":"Agricultural extension has shifted towards community-centric, farmer-centered, and participatory approaches that enhance rural change through a social learning lens, resulting in the emergence of the farmer-to-farmer extension model. The purpose of the study was to understand lead farmer selection criteria within the farmer-to-farmer model and their impacts on community social learning. We applied Torraco’s (2005) integrative literature review method to guide our discussion around lead farmer selection processes, types of lead farmers selected and their impacts on social learning. The study indicated farmer-to-farmer extension model has the potential of re-invigorating the provision of agriculture extension services owing to its low cost, reliability, and the potential to be sustainable. However, farmerto-farmer faces numerous challenges such as a lack of funding, limited community adoption, and acceptance of the system. This study’s findings suggest the farmer-to-farmer approach can be more effective when stakeholders, especially the community is actively involved in designing, implementing, and evaluating the model. The study recommends that practitioners work closely with the community to develop long-term relationships based on trust through intentionality and inviting attitude that respects and values community knowledge.","container-title":"Journal of International Agricultural and Extension Education","DOI":"10.4148/2831-5960.1022","ISSN":"2831-5960","issue":"3","journalAbbreviation":"Journal of International Agricultural and Extension Education","language":"en","page":"7-31","source":"DOI.org (Crossref)","title":"Exploring the Impacts of Lead Farmer Selection on Community Social Learning: The case of Farmer-to-Farmer Model: A Review of Literature","title-short":"Exploring the Impacts of Lead Farmer Selection on Community Social Learning","URL":"https://newprairiepress.org/jiaee/vol29/iss3/2","volume":"29","author":[{"family":"Ochieng","given":"Willis"},{"family":"Silvert","given":"Colby J"},{"family":"Diaz","given":"John"}],"accessed":{"date-parts":[["2022",9,28]]},"issued":{"date-parts":[["2022",9,1]]}},"locator":"9"}],"schema":"https://github.com/citation-style-language/schema/raw/master/csl-citation.json"} </w:instrText>
      </w:r>
      <w:r w:rsidR="00BA2DDA">
        <w:fldChar w:fldCharType="separate"/>
      </w:r>
      <w:r w:rsidR="00BA2DDA" w:rsidRPr="00BA2DDA">
        <w:rPr>
          <w:rFonts w:ascii="Calibri" w:hAnsi="Calibri" w:cs="Calibri"/>
        </w:rPr>
        <w:t>(Ochieng, Silvert and Diaz, 2022)</w:t>
      </w:r>
      <w:r w:rsidR="00BA2DDA">
        <w:fldChar w:fldCharType="end"/>
      </w:r>
    </w:p>
  </w:footnote>
  <w:footnote w:id="2">
    <w:p w14:paraId="48543F87" w14:textId="6B8E09FB" w:rsidR="0054720A" w:rsidRDefault="0054720A">
      <w:pPr>
        <w:pStyle w:val="FootnoteText"/>
      </w:pPr>
      <w:r w:rsidRPr="00A8299A">
        <w:rPr>
          <w:rStyle w:val="FootnoteReference"/>
        </w:rPr>
        <w:footnoteRef/>
      </w:r>
      <w:r>
        <w:t xml:space="preserve"> </w:t>
      </w:r>
      <w:r w:rsidR="008454A3">
        <w:t>S</w:t>
      </w:r>
      <w:r w:rsidR="00AD2FF6">
        <w:t>ee</w:t>
      </w:r>
      <w:r>
        <w:t xml:space="preserve"> </w:t>
      </w:r>
      <w:r w:rsidR="00BF618B">
        <w:fldChar w:fldCharType="begin"/>
      </w:r>
      <w:r w:rsidR="00107127">
        <w:instrText xml:space="preserve"> ADDIN ZOTERO_ITEM CSL_CITATION {"citationID":"atFv7T3Y","properties":{"formattedCitation":"(Barham {\\i{}et al.}, 2018)","plainCitation":"(Barham et al., 2018)","dontUpdate":true,"noteIndex":7},"citationItems":[{"id":1869,"uris":["http://zotero.org/users/7916616/items/C9KIUY3X"],"itemData":{"id":1869,"type":"article-journal","abstract":"We construct a model of technology adoption with agents differing on two dimensions: their cognitive ability and their receptiveness to advice. While cognitive ability unambiguously speeds adoption, receptiveness to advice may speed adoption for individuals with low cognitive ability, but slow adoption for individuals with high cognitive ability. We conduct economic experiments measuring US farmers’ cognitive ability and receptiveness to advice and examine how these characteristics impact their speed of adoption of genetically modified (GM) corn seeds. The empirical analysis shows that early adopters are those who are both quite able cognitively and not receptive to advice.","container-title":"Journal of Economic Behavior &amp; Organization","DOI":"10.1016/j.jebo.2017.12.025","ISSN":"0167-2681","journalAbbreviation":"Journal of Economic Behavior &amp; Organization","language":"en","page":"239-268","source":"ScienceDirect","title":"Receptiveness to advice, cognitive ability, and technology adoption","URL":"https://www.sciencedirect.com/science/article/pii/S016726811730375X","volume":"149","author":[{"family":"Barham","given":"Bradford L."},{"family":"Chavas","given":"Jean-Paul"},{"family":"Fitz","given":"Dylan"},{"family":"Schechter","given":"Laura"}],"accessed":{"date-parts":[["2022",10,24]]},"issued":{"date-parts":[["2018",5,1]]}}}],"schema":"https://github.com/citation-style-language/schema/raw/master/csl-citation.json"} </w:instrText>
      </w:r>
      <w:r w:rsidR="00BF618B">
        <w:fldChar w:fldCharType="separate"/>
      </w:r>
      <w:r w:rsidR="00BF618B" w:rsidRPr="00BF618B">
        <w:rPr>
          <w:rFonts w:ascii="Calibri" w:hAnsi="Calibri" w:cs="Calibri"/>
          <w:szCs w:val="24"/>
        </w:rPr>
        <w:t xml:space="preserve">Barham </w:t>
      </w:r>
      <w:r w:rsidR="00BF618B" w:rsidRPr="00BF618B">
        <w:rPr>
          <w:rFonts w:ascii="Calibri" w:hAnsi="Calibri" w:cs="Calibri"/>
          <w:i/>
          <w:iCs/>
          <w:szCs w:val="24"/>
        </w:rPr>
        <w:t>et al.</w:t>
      </w:r>
      <w:r w:rsidR="005624B4">
        <w:rPr>
          <w:rFonts w:ascii="Calibri" w:hAnsi="Calibri" w:cs="Calibri"/>
          <w:szCs w:val="24"/>
        </w:rPr>
        <w:t xml:space="preserve"> </w:t>
      </w:r>
      <w:r w:rsidR="00A11243">
        <w:rPr>
          <w:rFonts w:ascii="Calibri" w:hAnsi="Calibri" w:cs="Calibri"/>
          <w:szCs w:val="24"/>
        </w:rPr>
        <w:t>(</w:t>
      </w:r>
      <w:r w:rsidR="00BF618B" w:rsidRPr="00BF618B">
        <w:rPr>
          <w:rFonts w:ascii="Calibri" w:hAnsi="Calibri" w:cs="Calibri"/>
          <w:szCs w:val="24"/>
        </w:rPr>
        <w:t>2018)</w:t>
      </w:r>
      <w:r w:rsidR="00BF618B">
        <w:fldChar w:fldCharType="end"/>
      </w:r>
      <w:r w:rsidR="00AD2FF6">
        <w:t>,</w:t>
      </w:r>
      <w:r w:rsidR="004123DA">
        <w:t xml:space="preserve"> </w:t>
      </w:r>
      <w:r w:rsidR="004123DA">
        <w:fldChar w:fldCharType="begin"/>
      </w:r>
      <w:r w:rsidR="004123DA">
        <w:instrText xml:space="preserve"> ADDIN ZOTERO_ITEM CSL_CITATION {"citationID":"mxgT5YJr","properties":{"formattedCitation":"(Genius {\\i{}et al.}, 2014)","plainCitation":"(Genius et al., 2014)","noteIndex":2},"citationItems":[{"id":1599,"uris":["http://zotero.org/users/7916616/items/9MSK3J42"],"itemData":{"id":1599,"type":"article-journal","abstract":"In this article we investigate the role of information transmission in promoting agricultural technology adoption and diﬀusion. We study the inﬂuence of two information channels, namely extension services and social learning. We develop a theoretical model of technology adoption and diﬀusion, which we then empirically apply, using duration analysis, on a micro-dataset of olive producing farms from Crete (Greece). Our ﬁndings suggest that both extension services and social learning are strong determinants of technology adoption and diﬀusion, while the eﬀectiveness of each type of informational channel is enhanced by the presence of the other.","container-title":"American Journal of Agricultural Economics","DOI":"10.1093/ajae/aat054","ISSN":"0002-9092, 1467-8276","issue":"1","journalAbbreviation":"American Journal of Agricultural Economics","language":"en","page":"328-344","source":"DOI.org (Crossref)","title":"Information Transmission in Irrigation Technology Adoption and Diffusion: Social Learning, Extension Services, and Spatial Effects","title-short":"Information Transmission in Irrigation Technology Adoption and Diffusion","URL":"https://onlinelibrary.wiley.com/doi/abs/10.1093/ajae/aat054","volume":"96","author":[{"family":"Genius","given":"Margarita"},{"family":"Koundouri","given":"Phoebe"},{"family":"Nauges","given":"Céline"},{"family":"Tzouvelekas","given":"Vangelis"}],"accessed":{"date-parts":[["2022",10,22]]},"issued":{"date-parts":[["2014",1]]}}}],"schema":"https://github.com/citation-style-language/schema/raw/master/csl-citation.json"} </w:instrText>
      </w:r>
      <w:r w:rsidR="004123DA">
        <w:fldChar w:fldCharType="separate"/>
      </w:r>
      <w:r w:rsidR="004123DA" w:rsidRPr="004123DA">
        <w:rPr>
          <w:rFonts w:ascii="Calibri" w:hAnsi="Calibri" w:cs="Calibri"/>
          <w:szCs w:val="24"/>
        </w:rPr>
        <w:t xml:space="preserve">Genius </w:t>
      </w:r>
      <w:r w:rsidR="004123DA" w:rsidRPr="004123DA">
        <w:rPr>
          <w:rFonts w:ascii="Calibri" w:hAnsi="Calibri" w:cs="Calibri"/>
          <w:i/>
          <w:iCs/>
          <w:szCs w:val="24"/>
        </w:rPr>
        <w:t>et al.</w:t>
      </w:r>
      <w:r w:rsidR="004123DA" w:rsidRPr="004123DA">
        <w:rPr>
          <w:rFonts w:ascii="Calibri" w:hAnsi="Calibri" w:cs="Calibri"/>
          <w:szCs w:val="24"/>
        </w:rPr>
        <w:t xml:space="preserve"> </w:t>
      </w:r>
      <w:r w:rsidR="00BE74DE">
        <w:rPr>
          <w:rFonts w:ascii="Calibri" w:hAnsi="Calibri" w:cs="Calibri"/>
          <w:szCs w:val="24"/>
        </w:rPr>
        <w:t>(</w:t>
      </w:r>
      <w:r w:rsidR="004123DA" w:rsidRPr="004123DA">
        <w:rPr>
          <w:rFonts w:ascii="Calibri" w:hAnsi="Calibri" w:cs="Calibri"/>
          <w:szCs w:val="24"/>
        </w:rPr>
        <w:t>2014)</w:t>
      </w:r>
      <w:r w:rsidR="004123DA">
        <w:fldChar w:fldCharType="end"/>
      </w:r>
    </w:p>
  </w:footnote>
  <w:footnote w:id="3">
    <w:p w14:paraId="43FFDAA5" w14:textId="20282A57" w:rsidR="009440DD" w:rsidRDefault="009440DD">
      <w:pPr>
        <w:pStyle w:val="FootnoteText"/>
      </w:pPr>
      <w:r w:rsidRPr="00A8299A">
        <w:rPr>
          <w:rStyle w:val="FootnoteReference"/>
        </w:rPr>
        <w:footnoteRef/>
      </w:r>
      <w:r>
        <w:t xml:space="preserve"> See </w:t>
      </w:r>
      <w:r w:rsidR="00245D7E" w:rsidRPr="00245D7E">
        <w:rPr>
          <w:vertAlign w:val="superscript"/>
        </w:rPr>
        <w:t>1</w:t>
      </w:r>
    </w:p>
  </w:footnote>
  <w:footnote w:id="4">
    <w:p w14:paraId="17BBD7CA" w14:textId="390AB9FE" w:rsidR="005057E9" w:rsidRDefault="005057E9">
      <w:pPr>
        <w:pStyle w:val="FootnoteText"/>
      </w:pPr>
      <w:r w:rsidRPr="00A8299A">
        <w:rPr>
          <w:rStyle w:val="FootnoteReference"/>
        </w:rPr>
        <w:footnoteRef/>
      </w:r>
      <w:r>
        <w:t xml:space="preserve"> See </w:t>
      </w:r>
      <w:r>
        <w:fldChar w:fldCharType="begin"/>
      </w:r>
      <w:r>
        <w:instrText xml:space="preserve"> ADDIN ZOTERO_ITEM CSL_CITATION {"citationID":"bUKzZtjt","properties":{"formattedCitation":"(Scott, 2012, p. 1)","plainCitation":"(Scott, 2012, p. 1)","noteIndex":4},"citationItems":[{"id":1909,"uris":["http://zotero.org/users/7916616/items/Y3A4W49L"],"itemData":{"id":1909,"type":"book","abstract":"This book is available as open access through the Bloomsbury Open Access programme and is available on www.bloomsburycollections.com. This book introduces the non-specialist reader to the principal ideas, nature and purpose of social network analysis. Social networks operate on many levels, from families up to the level of nations, and play a critical role in determining the way problems are solved, organizations are run, and the degree to which individuals achieve their goals. Social network theory maps these relationships between individual actors. Though relatively new on the scene it has become hugely influential across the social sciences. Assuming no prior knowledge of quantitative sociology, this book presents the key ideas in context through examples and illustrations. Using a structured approach to understanding work in this area, John Scott signposts further reading and online sources so readers can develop their knowledge and skills to become practitioners of this research method. A series of Frequently Asked Questions takes the reader through the main objections raised against social network analysis and answers the various queries that will come up once the reader has worked their way through the book.","ISBN":"978-1-84966-820-0","language":"English","note":"Accepted: 2022-10-14T14:52:47Z\nDOI: 10.5040/9781849668187","publisher":"Bloomsbury Academic","source":"library.oapen.org","title":"What is Social Network Analysis?","URL":"https://library.oapen.org/handle/20.500.12657/58730","author":[{"family":"Scott","given":"John"}],"accessed":{"date-parts":[["2022",10,24]]},"issued":{"date-parts":[["2012"]]}},"locator":"1"}],"schema":"https://github.com/citation-style-language/schema/raw/master/csl-citation.json"} </w:instrText>
      </w:r>
      <w:r>
        <w:fldChar w:fldCharType="separate"/>
      </w:r>
      <w:r w:rsidRPr="005057E9">
        <w:rPr>
          <w:rFonts w:ascii="Calibri" w:hAnsi="Calibri" w:cs="Calibri"/>
        </w:rPr>
        <w:t>Scott</w:t>
      </w:r>
      <w:r w:rsidR="005624B4">
        <w:rPr>
          <w:rFonts w:ascii="Calibri" w:hAnsi="Calibri" w:cs="Calibri"/>
        </w:rPr>
        <w:t xml:space="preserve"> (</w:t>
      </w:r>
      <w:r w:rsidRPr="005057E9">
        <w:rPr>
          <w:rFonts w:ascii="Calibri" w:hAnsi="Calibri" w:cs="Calibri"/>
        </w:rPr>
        <w:t>2012, p.1</w:t>
      </w:r>
      <w:r>
        <w:fldChar w:fldCharType="end"/>
      </w:r>
      <w:r w:rsidR="005624B4">
        <w:t>)</w:t>
      </w:r>
    </w:p>
  </w:footnote>
  <w:footnote w:id="5">
    <w:p w14:paraId="46F290B4" w14:textId="42685ED4" w:rsidR="003D4691" w:rsidRDefault="003D4691">
      <w:pPr>
        <w:pStyle w:val="FootnoteText"/>
      </w:pPr>
      <w:r w:rsidRPr="00A8299A">
        <w:rPr>
          <w:rStyle w:val="FootnoteReference"/>
        </w:rPr>
        <w:footnoteRef/>
      </w:r>
      <w:r w:rsidR="10560191">
        <w:t xml:space="preserve"> One’s network is generally more likely to consist of similar individuals</w:t>
      </w:r>
    </w:p>
  </w:footnote>
  <w:footnote w:id="6">
    <w:p w14:paraId="5C5878BA" w14:textId="23DBCD86" w:rsidR="00B6591E" w:rsidRDefault="00B6591E">
      <w:pPr>
        <w:pStyle w:val="FootnoteText"/>
      </w:pPr>
      <w:r w:rsidRPr="00A8299A">
        <w:rPr>
          <w:rStyle w:val="FootnoteReference"/>
        </w:rPr>
        <w:footnoteRef/>
      </w:r>
      <w:r>
        <w:t xml:space="preserve"> </w:t>
      </w:r>
      <w:r w:rsidR="009B295E">
        <w:t>See</w:t>
      </w:r>
      <w:r w:rsidR="00DD3B30">
        <w:t xml:space="preserve"> p.313</w:t>
      </w:r>
    </w:p>
  </w:footnote>
  <w:footnote w:id="7">
    <w:p w14:paraId="2CD383A1" w14:textId="0A16B2F3" w:rsidR="003D2808" w:rsidRDefault="003D2808">
      <w:pPr>
        <w:pStyle w:val="FootnoteText"/>
      </w:pPr>
      <w:r w:rsidRPr="00A8299A">
        <w:rPr>
          <w:rStyle w:val="FootnoteReference"/>
        </w:rPr>
        <w:footnoteRef/>
      </w:r>
      <w:r>
        <w:t xml:space="preserve"> </w:t>
      </w:r>
      <w:r w:rsidR="008B11ED">
        <w:t>See p.993</w:t>
      </w:r>
    </w:p>
  </w:footnote>
  <w:footnote w:id="8">
    <w:p w14:paraId="5CABB260" w14:textId="2468C9A9" w:rsidR="0035665E" w:rsidRDefault="0035665E" w:rsidP="0035665E">
      <w:pPr>
        <w:pStyle w:val="FootnoteText"/>
      </w:pPr>
      <w:r w:rsidRPr="00A8299A">
        <w:rPr>
          <w:rStyle w:val="FootnoteReference"/>
        </w:rPr>
        <w:footnoteRef/>
      </w:r>
      <w:r>
        <w:t xml:space="preserve"> Using a probit model</w:t>
      </w:r>
    </w:p>
  </w:footnote>
  <w:footnote w:id="9">
    <w:p w14:paraId="08491EBF" w14:textId="620F9818" w:rsidR="00572D32" w:rsidRDefault="00572D32">
      <w:pPr>
        <w:pStyle w:val="FootnoteText"/>
      </w:pPr>
      <w:r w:rsidRPr="00A8299A">
        <w:rPr>
          <w:rStyle w:val="FootnoteReference"/>
        </w:rPr>
        <w:footnoteRef/>
      </w:r>
      <w:r>
        <w:t xml:space="preserve"> The tendency to conform to </w:t>
      </w:r>
      <w:r w:rsidR="008161CD">
        <w:t>one’s</w:t>
      </w:r>
      <w:r>
        <w:t xml:space="preserve"> network</w:t>
      </w:r>
      <w:r w:rsidR="002D6317">
        <w:t>’</w:t>
      </w:r>
      <w:r w:rsidR="008161CD">
        <w:t>s</w:t>
      </w:r>
      <w:r>
        <w:t xml:space="preserve"> </w:t>
      </w:r>
      <w:r w:rsidR="0057669E">
        <w:t>decision, controlling for other factors</w:t>
      </w:r>
    </w:p>
  </w:footnote>
  <w:footnote w:id="10">
    <w:p w14:paraId="04EE52E5" w14:textId="7FCE55C0" w:rsidR="00AC5EDC" w:rsidRDefault="00AC5EDC">
      <w:pPr>
        <w:pStyle w:val="FootnoteText"/>
      </w:pPr>
      <w:r w:rsidRPr="00A8299A">
        <w:rPr>
          <w:rStyle w:val="FootnoteReference"/>
        </w:rPr>
        <w:footnoteRef/>
      </w:r>
      <w:r>
        <w:t xml:space="preserve"> </w:t>
      </w:r>
      <w:r w:rsidR="00D4525F">
        <w:t>R</w:t>
      </w:r>
      <w:r>
        <w:t>ather than the proportion, as in Maertens (2017)</w:t>
      </w:r>
    </w:p>
  </w:footnote>
  <w:footnote w:id="11">
    <w:p w14:paraId="69465FB1" w14:textId="48AE5C62" w:rsidR="00406C24" w:rsidRDefault="00406C24">
      <w:pPr>
        <w:pStyle w:val="FootnoteText"/>
      </w:pPr>
      <w:r w:rsidRPr="00A8299A">
        <w:rPr>
          <w:rStyle w:val="FootnoteReference"/>
        </w:rPr>
        <w:footnoteRef/>
      </w:r>
      <w:r>
        <w:t xml:space="preserve"> Farmers </w:t>
      </w:r>
      <w:r w:rsidR="00A527AD">
        <w:t>in lead</w:t>
      </w:r>
      <w:r w:rsidR="00E81784">
        <w:t>-</w:t>
      </w:r>
      <w:r w:rsidR="00A527AD">
        <w:t>farmers’ networks</w:t>
      </w:r>
    </w:p>
  </w:footnote>
  <w:footnote w:id="12">
    <w:p w14:paraId="57272809" w14:textId="77777777" w:rsidR="0015495F" w:rsidRDefault="0015495F" w:rsidP="0015495F">
      <w:pPr>
        <w:pStyle w:val="FootnoteText"/>
      </w:pPr>
      <w:r w:rsidRPr="00A8299A">
        <w:rPr>
          <w:rStyle w:val="FootnoteReference"/>
        </w:rPr>
        <w:footnoteRef/>
      </w:r>
      <w:r>
        <w:t xml:space="preserve"> Using a bivariate probit model </w:t>
      </w:r>
    </w:p>
  </w:footnote>
  <w:footnote w:id="13">
    <w:p w14:paraId="07197BCF" w14:textId="12CCF4D6" w:rsidR="00E60D32" w:rsidRDefault="00E60D32">
      <w:pPr>
        <w:pStyle w:val="FootnoteText"/>
      </w:pPr>
      <w:r w:rsidRPr="00A8299A">
        <w:rPr>
          <w:rStyle w:val="FootnoteReference"/>
        </w:rPr>
        <w:footnoteRef/>
      </w:r>
      <w:r>
        <w:t xml:space="preserve"> A form of knowledge – that a technology exists/is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0E9"/>
    <w:multiLevelType w:val="hybridMultilevel"/>
    <w:tmpl w:val="F7E00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3441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A1"/>
    <w:rsid w:val="000048C9"/>
    <w:rsid w:val="00006537"/>
    <w:rsid w:val="00011B3C"/>
    <w:rsid w:val="000176DD"/>
    <w:rsid w:val="000247E4"/>
    <w:rsid w:val="00031C13"/>
    <w:rsid w:val="00032D36"/>
    <w:rsid w:val="00033C81"/>
    <w:rsid w:val="00040A84"/>
    <w:rsid w:val="00041E51"/>
    <w:rsid w:val="000501AE"/>
    <w:rsid w:val="00060315"/>
    <w:rsid w:val="00070512"/>
    <w:rsid w:val="00070632"/>
    <w:rsid w:val="00072427"/>
    <w:rsid w:val="00080DE7"/>
    <w:rsid w:val="0009035C"/>
    <w:rsid w:val="00093860"/>
    <w:rsid w:val="00096B43"/>
    <w:rsid w:val="00097452"/>
    <w:rsid w:val="000A122C"/>
    <w:rsid w:val="000A126C"/>
    <w:rsid w:val="000A5AE4"/>
    <w:rsid w:val="000A69D8"/>
    <w:rsid w:val="000B4F25"/>
    <w:rsid w:val="000B6711"/>
    <w:rsid w:val="000B7C37"/>
    <w:rsid w:val="000C148D"/>
    <w:rsid w:val="000C3411"/>
    <w:rsid w:val="000C73B7"/>
    <w:rsid w:val="000D5644"/>
    <w:rsid w:val="000D5F81"/>
    <w:rsid w:val="000D6456"/>
    <w:rsid w:val="000E2462"/>
    <w:rsid w:val="000E4512"/>
    <w:rsid w:val="000E5565"/>
    <w:rsid w:val="000F15A9"/>
    <w:rsid w:val="000F3C83"/>
    <w:rsid w:val="000F6CA9"/>
    <w:rsid w:val="0010632F"/>
    <w:rsid w:val="00107127"/>
    <w:rsid w:val="00110AC2"/>
    <w:rsid w:val="00122A72"/>
    <w:rsid w:val="00130FB1"/>
    <w:rsid w:val="00132330"/>
    <w:rsid w:val="00134FEB"/>
    <w:rsid w:val="00136AD3"/>
    <w:rsid w:val="00137C8E"/>
    <w:rsid w:val="00144484"/>
    <w:rsid w:val="001462A3"/>
    <w:rsid w:val="00152EC4"/>
    <w:rsid w:val="00154860"/>
    <w:rsid w:val="0015495F"/>
    <w:rsid w:val="00156462"/>
    <w:rsid w:val="00162071"/>
    <w:rsid w:val="00170009"/>
    <w:rsid w:val="0017156E"/>
    <w:rsid w:val="00182412"/>
    <w:rsid w:val="00187839"/>
    <w:rsid w:val="00192119"/>
    <w:rsid w:val="00192D65"/>
    <w:rsid w:val="001A337F"/>
    <w:rsid w:val="001A3BC7"/>
    <w:rsid w:val="001A5E9F"/>
    <w:rsid w:val="001B1A2F"/>
    <w:rsid w:val="001B5257"/>
    <w:rsid w:val="001C0FCA"/>
    <w:rsid w:val="001E202C"/>
    <w:rsid w:val="001E488C"/>
    <w:rsid w:val="001E795A"/>
    <w:rsid w:val="001F3CFF"/>
    <w:rsid w:val="001F5125"/>
    <w:rsid w:val="001F53AE"/>
    <w:rsid w:val="002073A5"/>
    <w:rsid w:val="0021418E"/>
    <w:rsid w:val="0021797F"/>
    <w:rsid w:val="00225D10"/>
    <w:rsid w:val="0023183B"/>
    <w:rsid w:val="00232F15"/>
    <w:rsid w:val="00233D5B"/>
    <w:rsid w:val="00234421"/>
    <w:rsid w:val="00235897"/>
    <w:rsid w:val="002358F9"/>
    <w:rsid w:val="00236273"/>
    <w:rsid w:val="00241989"/>
    <w:rsid w:val="00242704"/>
    <w:rsid w:val="00243358"/>
    <w:rsid w:val="00245D7E"/>
    <w:rsid w:val="00260824"/>
    <w:rsid w:val="00263C85"/>
    <w:rsid w:val="00263D09"/>
    <w:rsid w:val="00266789"/>
    <w:rsid w:val="00281218"/>
    <w:rsid w:val="00282236"/>
    <w:rsid w:val="002831DB"/>
    <w:rsid w:val="00287750"/>
    <w:rsid w:val="002931F1"/>
    <w:rsid w:val="00293DBD"/>
    <w:rsid w:val="0029655A"/>
    <w:rsid w:val="00297EEB"/>
    <w:rsid w:val="002A2674"/>
    <w:rsid w:val="002A5158"/>
    <w:rsid w:val="002B554A"/>
    <w:rsid w:val="002D464D"/>
    <w:rsid w:val="002D6317"/>
    <w:rsid w:val="002E1991"/>
    <w:rsid w:val="002E2B3B"/>
    <w:rsid w:val="002E3C37"/>
    <w:rsid w:val="002E5A32"/>
    <w:rsid w:val="002F0BAD"/>
    <w:rsid w:val="002F28D5"/>
    <w:rsid w:val="002F2E25"/>
    <w:rsid w:val="002F369A"/>
    <w:rsid w:val="002F4116"/>
    <w:rsid w:val="002F682F"/>
    <w:rsid w:val="00302F4E"/>
    <w:rsid w:val="00305AA4"/>
    <w:rsid w:val="00305B25"/>
    <w:rsid w:val="00311423"/>
    <w:rsid w:val="0031469E"/>
    <w:rsid w:val="00315342"/>
    <w:rsid w:val="003158A0"/>
    <w:rsid w:val="0032547E"/>
    <w:rsid w:val="00327E42"/>
    <w:rsid w:val="003300BB"/>
    <w:rsid w:val="00331848"/>
    <w:rsid w:val="003325E5"/>
    <w:rsid w:val="00333DF8"/>
    <w:rsid w:val="003375EA"/>
    <w:rsid w:val="0034332B"/>
    <w:rsid w:val="0035121A"/>
    <w:rsid w:val="00352676"/>
    <w:rsid w:val="00353180"/>
    <w:rsid w:val="00354189"/>
    <w:rsid w:val="0035665E"/>
    <w:rsid w:val="00356D81"/>
    <w:rsid w:val="003635AF"/>
    <w:rsid w:val="0037091C"/>
    <w:rsid w:val="003821F7"/>
    <w:rsid w:val="00390FA5"/>
    <w:rsid w:val="003A077C"/>
    <w:rsid w:val="003A16F3"/>
    <w:rsid w:val="003A6EC5"/>
    <w:rsid w:val="003B5E35"/>
    <w:rsid w:val="003B6664"/>
    <w:rsid w:val="003B6941"/>
    <w:rsid w:val="003C6ABE"/>
    <w:rsid w:val="003D1CB8"/>
    <w:rsid w:val="003D2808"/>
    <w:rsid w:val="003D4691"/>
    <w:rsid w:val="003E04F4"/>
    <w:rsid w:val="003E0948"/>
    <w:rsid w:val="003E60A2"/>
    <w:rsid w:val="003F001F"/>
    <w:rsid w:val="003F0326"/>
    <w:rsid w:val="003F1BE7"/>
    <w:rsid w:val="003F30F6"/>
    <w:rsid w:val="004000E8"/>
    <w:rsid w:val="00403825"/>
    <w:rsid w:val="0040511C"/>
    <w:rsid w:val="00406C24"/>
    <w:rsid w:val="004109B6"/>
    <w:rsid w:val="0041226D"/>
    <w:rsid w:val="004123DA"/>
    <w:rsid w:val="0041380C"/>
    <w:rsid w:val="004146F5"/>
    <w:rsid w:val="00420554"/>
    <w:rsid w:val="00421366"/>
    <w:rsid w:val="0042217C"/>
    <w:rsid w:val="00422977"/>
    <w:rsid w:val="00425D39"/>
    <w:rsid w:val="00425ED3"/>
    <w:rsid w:val="00427426"/>
    <w:rsid w:val="004277FE"/>
    <w:rsid w:val="00432B35"/>
    <w:rsid w:val="00444DEC"/>
    <w:rsid w:val="00446E1F"/>
    <w:rsid w:val="00452102"/>
    <w:rsid w:val="00454587"/>
    <w:rsid w:val="004562FE"/>
    <w:rsid w:val="004610B2"/>
    <w:rsid w:val="00462C30"/>
    <w:rsid w:val="00463001"/>
    <w:rsid w:val="00463DAA"/>
    <w:rsid w:val="00464E57"/>
    <w:rsid w:val="00465DBC"/>
    <w:rsid w:val="00467200"/>
    <w:rsid w:val="004719D6"/>
    <w:rsid w:val="004726CF"/>
    <w:rsid w:val="00483C91"/>
    <w:rsid w:val="004915AD"/>
    <w:rsid w:val="004A3646"/>
    <w:rsid w:val="004A3DAD"/>
    <w:rsid w:val="004A659C"/>
    <w:rsid w:val="004C2696"/>
    <w:rsid w:val="004C3851"/>
    <w:rsid w:val="004D0668"/>
    <w:rsid w:val="004D372B"/>
    <w:rsid w:val="004E17C8"/>
    <w:rsid w:val="004E5243"/>
    <w:rsid w:val="0050136F"/>
    <w:rsid w:val="005057E9"/>
    <w:rsid w:val="00506D9A"/>
    <w:rsid w:val="005112D2"/>
    <w:rsid w:val="005128DB"/>
    <w:rsid w:val="00514858"/>
    <w:rsid w:val="00517178"/>
    <w:rsid w:val="00521B00"/>
    <w:rsid w:val="00525CB0"/>
    <w:rsid w:val="005277ED"/>
    <w:rsid w:val="00527DF1"/>
    <w:rsid w:val="00527DFC"/>
    <w:rsid w:val="00545B36"/>
    <w:rsid w:val="0054720A"/>
    <w:rsid w:val="00550CDD"/>
    <w:rsid w:val="00551375"/>
    <w:rsid w:val="00553341"/>
    <w:rsid w:val="00554946"/>
    <w:rsid w:val="00557123"/>
    <w:rsid w:val="00557E48"/>
    <w:rsid w:val="00562349"/>
    <w:rsid w:val="005624B4"/>
    <w:rsid w:val="00565B67"/>
    <w:rsid w:val="00567E3B"/>
    <w:rsid w:val="0057256E"/>
    <w:rsid w:val="00572D32"/>
    <w:rsid w:val="0057669E"/>
    <w:rsid w:val="005771C4"/>
    <w:rsid w:val="00577729"/>
    <w:rsid w:val="00580977"/>
    <w:rsid w:val="00582D5F"/>
    <w:rsid w:val="00583C2C"/>
    <w:rsid w:val="00590BDC"/>
    <w:rsid w:val="0059121C"/>
    <w:rsid w:val="0059540C"/>
    <w:rsid w:val="00596D0F"/>
    <w:rsid w:val="00597888"/>
    <w:rsid w:val="005A4AEC"/>
    <w:rsid w:val="005A77C3"/>
    <w:rsid w:val="005B5E19"/>
    <w:rsid w:val="005B69D5"/>
    <w:rsid w:val="005C18D0"/>
    <w:rsid w:val="005C4144"/>
    <w:rsid w:val="005C41BD"/>
    <w:rsid w:val="005C731C"/>
    <w:rsid w:val="005D0411"/>
    <w:rsid w:val="005D1F51"/>
    <w:rsid w:val="005D5847"/>
    <w:rsid w:val="005E5D82"/>
    <w:rsid w:val="005F13A1"/>
    <w:rsid w:val="005F1541"/>
    <w:rsid w:val="00601F23"/>
    <w:rsid w:val="00602BF0"/>
    <w:rsid w:val="00604FA2"/>
    <w:rsid w:val="00605083"/>
    <w:rsid w:val="0060566C"/>
    <w:rsid w:val="006160FC"/>
    <w:rsid w:val="00622039"/>
    <w:rsid w:val="00634CD7"/>
    <w:rsid w:val="00641595"/>
    <w:rsid w:val="00641F51"/>
    <w:rsid w:val="00650194"/>
    <w:rsid w:val="006501BA"/>
    <w:rsid w:val="00652DD6"/>
    <w:rsid w:val="00657D2E"/>
    <w:rsid w:val="00662953"/>
    <w:rsid w:val="006646F0"/>
    <w:rsid w:val="006659F6"/>
    <w:rsid w:val="00665BD0"/>
    <w:rsid w:val="0066684E"/>
    <w:rsid w:val="00672B67"/>
    <w:rsid w:val="0068047F"/>
    <w:rsid w:val="00682B71"/>
    <w:rsid w:val="00684BD7"/>
    <w:rsid w:val="006923E2"/>
    <w:rsid w:val="00693A95"/>
    <w:rsid w:val="00696F23"/>
    <w:rsid w:val="00697F5D"/>
    <w:rsid w:val="006A0BA2"/>
    <w:rsid w:val="006A0E29"/>
    <w:rsid w:val="006B35D7"/>
    <w:rsid w:val="006B39B3"/>
    <w:rsid w:val="006C20D9"/>
    <w:rsid w:val="006C226A"/>
    <w:rsid w:val="006D63B5"/>
    <w:rsid w:val="006E0ED9"/>
    <w:rsid w:val="006F30EE"/>
    <w:rsid w:val="006F68B2"/>
    <w:rsid w:val="00717192"/>
    <w:rsid w:val="00717430"/>
    <w:rsid w:val="0072283A"/>
    <w:rsid w:val="007300F5"/>
    <w:rsid w:val="00730DC2"/>
    <w:rsid w:val="00737888"/>
    <w:rsid w:val="0074437D"/>
    <w:rsid w:val="00747285"/>
    <w:rsid w:val="00751D43"/>
    <w:rsid w:val="0076144A"/>
    <w:rsid w:val="0076240B"/>
    <w:rsid w:val="00783AE9"/>
    <w:rsid w:val="00785434"/>
    <w:rsid w:val="00797ABC"/>
    <w:rsid w:val="007A3187"/>
    <w:rsid w:val="007A5383"/>
    <w:rsid w:val="007B05D9"/>
    <w:rsid w:val="007B2F86"/>
    <w:rsid w:val="007B5CB5"/>
    <w:rsid w:val="007B7D94"/>
    <w:rsid w:val="007B7FD1"/>
    <w:rsid w:val="007C09A2"/>
    <w:rsid w:val="007C4066"/>
    <w:rsid w:val="007C671D"/>
    <w:rsid w:val="007D3E69"/>
    <w:rsid w:val="007D5424"/>
    <w:rsid w:val="007E1F68"/>
    <w:rsid w:val="007F0D91"/>
    <w:rsid w:val="007F2E47"/>
    <w:rsid w:val="007F51D8"/>
    <w:rsid w:val="007F70CF"/>
    <w:rsid w:val="007F7F48"/>
    <w:rsid w:val="008008E8"/>
    <w:rsid w:val="00803412"/>
    <w:rsid w:val="00810B65"/>
    <w:rsid w:val="00811D9B"/>
    <w:rsid w:val="008128D9"/>
    <w:rsid w:val="0081431B"/>
    <w:rsid w:val="00814515"/>
    <w:rsid w:val="008161CD"/>
    <w:rsid w:val="008205BA"/>
    <w:rsid w:val="00827BFE"/>
    <w:rsid w:val="00832E28"/>
    <w:rsid w:val="00835A3F"/>
    <w:rsid w:val="008367B9"/>
    <w:rsid w:val="00840F9E"/>
    <w:rsid w:val="0084277C"/>
    <w:rsid w:val="00842785"/>
    <w:rsid w:val="008435E9"/>
    <w:rsid w:val="0084377E"/>
    <w:rsid w:val="0084525E"/>
    <w:rsid w:val="008454A3"/>
    <w:rsid w:val="008464F5"/>
    <w:rsid w:val="008471F2"/>
    <w:rsid w:val="00850503"/>
    <w:rsid w:val="00854D16"/>
    <w:rsid w:val="008550D0"/>
    <w:rsid w:val="008607E2"/>
    <w:rsid w:val="00861320"/>
    <w:rsid w:val="008620F3"/>
    <w:rsid w:val="00871615"/>
    <w:rsid w:val="00871E0B"/>
    <w:rsid w:val="0087514B"/>
    <w:rsid w:val="0087585C"/>
    <w:rsid w:val="00876E71"/>
    <w:rsid w:val="0088146D"/>
    <w:rsid w:val="008823F9"/>
    <w:rsid w:val="00885F37"/>
    <w:rsid w:val="00890916"/>
    <w:rsid w:val="00890B13"/>
    <w:rsid w:val="0089121C"/>
    <w:rsid w:val="0089443D"/>
    <w:rsid w:val="008A2337"/>
    <w:rsid w:val="008A2E53"/>
    <w:rsid w:val="008B11ED"/>
    <w:rsid w:val="008B3ADD"/>
    <w:rsid w:val="008C3B87"/>
    <w:rsid w:val="008D201C"/>
    <w:rsid w:val="008D585B"/>
    <w:rsid w:val="008E67C5"/>
    <w:rsid w:val="008F0461"/>
    <w:rsid w:val="008F33C6"/>
    <w:rsid w:val="008F7FF5"/>
    <w:rsid w:val="009030F8"/>
    <w:rsid w:val="00903656"/>
    <w:rsid w:val="00903999"/>
    <w:rsid w:val="00905909"/>
    <w:rsid w:val="00906F13"/>
    <w:rsid w:val="009137ED"/>
    <w:rsid w:val="00913B91"/>
    <w:rsid w:val="00913CA5"/>
    <w:rsid w:val="00914A70"/>
    <w:rsid w:val="00916DA1"/>
    <w:rsid w:val="00920EFE"/>
    <w:rsid w:val="00924145"/>
    <w:rsid w:val="00924411"/>
    <w:rsid w:val="0092663B"/>
    <w:rsid w:val="00930958"/>
    <w:rsid w:val="00933816"/>
    <w:rsid w:val="0093521D"/>
    <w:rsid w:val="00937BA9"/>
    <w:rsid w:val="00943D24"/>
    <w:rsid w:val="009440DD"/>
    <w:rsid w:val="00946CBC"/>
    <w:rsid w:val="00950FB4"/>
    <w:rsid w:val="00953D44"/>
    <w:rsid w:val="00954C71"/>
    <w:rsid w:val="0095672F"/>
    <w:rsid w:val="0096034A"/>
    <w:rsid w:val="009643A6"/>
    <w:rsid w:val="00965219"/>
    <w:rsid w:val="00967829"/>
    <w:rsid w:val="009703C7"/>
    <w:rsid w:val="00971135"/>
    <w:rsid w:val="00971A56"/>
    <w:rsid w:val="009722A6"/>
    <w:rsid w:val="009725C8"/>
    <w:rsid w:val="00973C80"/>
    <w:rsid w:val="00980ECD"/>
    <w:rsid w:val="009817E7"/>
    <w:rsid w:val="00983494"/>
    <w:rsid w:val="009A5588"/>
    <w:rsid w:val="009A7ACD"/>
    <w:rsid w:val="009B1A2D"/>
    <w:rsid w:val="009B295E"/>
    <w:rsid w:val="009B2977"/>
    <w:rsid w:val="009B470C"/>
    <w:rsid w:val="009B543F"/>
    <w:rsid w:val="009C20A1"/>
    <w:rsid w:val="009C5379"/>
    <w:rsid w:val="009D0DCD"/>
    <w:rsid w:val="009D54D6"/>
    <w:rsid w:val="009D78FB"/>
    <w:rsid w:val="009E2F70"/>
    <w:rsid w:val="009E4490"/>
    <w:rsid w:val="009E458D"/>
    <w:rsid w:val="009E5379"/>
    <w:rsid w:val="009E610A"/>
    <w:rsid w:val="009F28EB"/>
    <w:rsid w:val="009F326B"/>
    <w:rsid w:val="009F3FE7"/>
    <w:rsid w:val="009F4507"/>
    <w:rsid w:val="00A030BC"/>
    <w:rsid w:val="00A11243"/>
    <w:rsid w:val="00A12FB6"/>
    <w:rsid w:val="00A276E2"/>
    <w:rsid w:val="00A32DE8"/>
    <w:rsid w:val="00A33C6C"/>
    <w:rsid w:val="00A37CAF"/>
    <w:rsid w:val="00A423E9"/>
    <w:rsid w:val="00A4342E"/>
    <w:rsid w:val="00A44FFF"/>
    <w:rsid w:val="00A50622"/>
    <w:rsid w:val="00A527AD"/>
    <w:rsid w:val="00A52E62"/>
    <w:rsid w:val="00A53DFD"/>
    <w:rsid w:val="00A53F50"/>
    <w:rsid w:val="00A552F9"/>
    <w:rsid w:val="00A606CA"/>
    <w:rsid w:val="00A70517"/>
    <w:rsid w:val="00A732DE"/>
    <w:rsid w:val="00A76AAD"/>
    <w:rsid w:val="00A80926"/>
    <w:rsid w:val="00A8299A"/>
    <w:rsid w:val="00A82E84"/>
    <w:rsid w:val="00A858E1"/>
    <w:rsid w:val="00AA1C3C"/>
    <w:rsid w:val="00AA4F5C"/>
    <w:rsid w:val="00AA7043"/>
    <w:rsid w:val="00AB1468"/>
    <w:rsid w:val="00AB215A"/>
    <w:rsid w:val="00AB3AEB"/>
    <w:rsid w:val="00AB4FA0"/>
    <w:rsid w:val="00AB7AC7"/>
    <w:rsid w:val="00AC4057"/>
    <w:rsid w:val="00AC5EDC"/>
    <w:rsid w:val="00AC624B"/>
    <w:rsid w:val="00AC6874"/>
    <w:rsid w:val="00AD2A0E"/>
    <w:rsid w:val="00AD2FF6"/>
    <w:rsid w:val="00AD3A52"/>
    <w:rsid w:val="00AE1E19"/>
    <w:rsid w:val="00AE3CE3"/>
    <w:rsid w:val="00AE580A"/>
    <w:rsid w:val="00AE6A29"/>
    <w:rsid w:val="00AF03A5"/>
    <w:rsid w:val="00B10633"/>
    <w:rsid w:val="00B115B8"/>
    <w:rsid w:val="00B1276D"/>
    <w:rsid w:val="00B135F0"/>
    <w:rsid w:val="00B13C08"/>
    <w:rsid w:val="00B1710A"/>
    <w:rsid w:val="00B23168"/>
    <w:rsid w:val="00B27269"/>
    <w:rsid w:val="00B3001C"/>
    <w:rsid w:val="00B330E5"/>
    <w:rsid w:val="00B36E2C"/>
    <w:rsid w:val="00B43603"/>
    <w:rsid w:val="00B519AC"/>
    <w:rsid w:val="00B52BA3"/>
    <w:rsid w:val="00B55148"/>
    <w:rsid w:val="00B55907"/>
    <w:rsid w:val="00B55999"/>
    <w:rsid w:val="00B6001E"/>
    <w:rsid w:val="00B622BA"/>
    <w:rsid w:val="00B6591E"/>
    <w:rsid w:val="00B65AFB"/>
    <w:rsid w:val="00B662BC"/>
    <w:rsid w:val="00B67A35"/>
    <w:rsid w:val="00B717AB"/>
    <w:rsid w:val="00B72351"/>
    <w:rsid w:val="00B7663B"/>
    <w:rsid w:val="00B81FF5"/>
    <w:rsid w:val="00B83D46"/>
    <w:rsid w:val="00B9112C"/>
    <w:rsid w:val="00B93114"/>
    <w:rsid w:val="00B952C2"/>
    <w:rsid w:val="00BA1B7A"/>
    <w:rsid w:val="00BA2DDA"/>
    <w:rsid w:val="00BA39E0"/>
    <w:rsid w:val="00BA7FBF"/>
    <w:rsid w:val="00BB776C"/>
    <w:rsid w:val="00BC25DF"/>
    <w:rsid w:val="00BC6629"/>
    <w:rsid w:val="00BD1031"/>
    <w:rsid w:val="00BD7D3B"/>
    <w:rsid w:val="00BE0FEF"/>
    <w:rsid w:val="00BE2837"/>
    <w:rsid w:val="00BE3FB5"/>
    <w:rsid w:val="00BE74DE"/>
    <w:rsid w:val="00BF0C8E"/>
    <w:rsid w:val="00BF2702"/>
    <w:rsid w:val="00BF43CB"/>
    <w:rsid w:val="00BF618B"/>
    <w:rsid w:val="00C006E5"/>
    <w:rsid w:val="00C053D1"/>
    <w:rsid w:val="00C05737"/>
    <w:rsid w:val="00C075BC"/>
    <w:rsid w:val="00C100B0"/>
    <w:rsid w:val="00C1203B"/>
    <w:rsid w:val="00C14B2C"/>
    <w:rsid w:val="00C225A0"/>
    <w:rsid w:val="00C24428"/>
    <w:rsid w:val="00C34B62"/>
    <w:rsid w:val="00C3576C"/>
    <w:rsid w:val="00C3730A"/>
    <w:rsid w:val="00C37363"/>
    <w:rsid w:val="00C378B0"/>
    <w:rsid w:val="00C41CCD"/>
    <w:rsid w:val="00C41FB7"/>
    <w:rsid w:val="00C4294F"/>
    <w:rsid w:val="00C42E2F"/>
    <w:rsid w:val="00C455C0"/>
    <w:rsid w:val="00C464C6"/>
    <w:rsid w:val="00C46959"/>
    <w:rsid w:val="00C50497"/>
    <w:rsid w:val="00C51EAC"/>
    <w:rsid w:val="00C52F4A"/>
    <w:rsid w:val="00C546E5"/>
    <w:rsid w:val="00C5632A"/>
    <w:rsid w:val="00C601F9"/>
    <w:rsid w:val="00C613C5"/>
    <w:rsid w:val="00C7096B"/>
    <w:rsid w:val="00C7316D"/>
    <w:rsid w:val="00C75083"/>
    <w:rsid w:val="00C76CB4"/>
    <w:rsid w:val="00C846AA"/>
    <w:rsid w:val="00C85206"/>
    <w:rsid w:val="00C91C78"/>
    <w:rsid w:val="00C92944"/>
    <w:rsid w:val="00CA2668"/>
    <w:rsid w:val="00CA30CB"/>
    <w:rsid w:val="00CA672F"/>
    <w:rsid w:val="00CB23F0"/>
    <w:rsid w:val="00CB3AA4"/>
    <w:rsid w:val="00CB6C5B"/>
    <w:rsid w:val="00CB6D2B"/>
    <w:rsid w:val="00CC11E5"/>
    <w:rsid w:val="00CC3276"/>
    <w:rsid w:val="00CC351A"/>
    <w:rsid w:val="00CC55D8"/>
    <w:rsid w:val="00CC6A4E"/>
    <w:rsid w:val="00CD161E"/>
    <w:rsid w:val="00CD4BDB"/>
    <w:rsid w:val="00CD603F"/>
    <w:rsid w:val="00CE3CAF"/>
    <w:rsid w:val="00CE47D4"/>
    <w:rsid w:val="00CF3BC2"/>
    <w:rsid w:val="00CF4869"/>
    <w:rsid w:val="00CF4872"/>
    <w:rsid w:val="00CF5C43"/>
    <w:rsid w:val="00CF6AB3"/>
    <w:rsid w:val="00D06DA5"/>
    <w:rsid w:val="00D06F42"/>
    <w:rsid w:val="00D07074"/>
    <w:rsid w:val="00D10BB5"/>
    <w:rsid w:val="00D10E09"/>
    <w:rsid w:val="00D112EB"/>
    <w:rsid w:val="00D14817"/>
    <w:rsid w:val="00D14D51"/>
    <w:rsid w:val="00D1734F"/>
    <w:rsid w:val="00D17F13"/>
    <w:rsid w:val="00D22196"/>
    <w:rsid w:val="00D23DFD"/>
    <w:rsid w:val="00D24063"/>
    <w:rsid w:val="00D30532"/>
    <w:rsid w:val="00D35314"/>
    <w:rsid w:val="00D415BF"/>
    <w:rsid w:val="00D4525F"/>
    <w:rsid w:val="00D51599"/>
    <w:rsid w:val="00D566FC"/>
    <w:rsid w:val="00D60A3E"/>
    <w:rsid w:val="00D6152B"/>
    <w:rsid w:val="00D61FF8"/>
    <w:rsid w:val="00D63311"/>
    <w:rsid w:val="00D81C52"/>
    <w:rsid w:val="00D84BEE"/>
    <w:rsid w:val="00D91F28"/>
    <w:rsid w:val="00D9215A"/>
    <w:rsid w:val="00D96517"/>
    <w:rsid w:val="00D96D74"/>
    <w:rsid w:val="00DA12F2"/>
    <w:rsid w:val="00DA1B1A"/>
    <w:rsid w:val="00DA6277"/>
    <w:rsid w:val="00DB1F79"/>
    <w:rsid w:val="00DB32A7"/>
    <w:rsid w:val="00DC796A"/>
    <w:rsid w:val="00DD3B30"/>
    <w:rsid w:val="00DE038E"/>
    <w:rsid w:val="00DE0AC0"/>
    <w:rsid w:val="00DE5CF0"/>
    <w:rsid w:val="00DE6D52"/>
    <w:rsid w:val="00E04401"/>
    <w:rsid w:val="00E07189"/>
    <w:rsid w:val="00E07216"/>
    <w:rsid w:val="00E12048"/>
    <w:rsid w:val="00E13F8D"/>
    <w:rsid w:val="00E14E3F"/>
    <w:rsid w:val="00E17197"/>
    <w:rsid w:val="00E207FE"/>
    <w:rsid w:val="00E23BE2"/>
    <w:rsid w:val="00E244FD"/>
    <w:rsid w:val="00E265BB"/>
    <w:rsid w:val="00E3372E"/>
    <w:rsid w:val="00E42151"/>
    <w:rsid w:val="00E43A45"/>
    <w:rsid w:val="00E45898"/>
    <w:rsid w:val="00E45CA2"/>
    <w:rsid w:val="00E47074"/>
    <w:rsid w:val="00E53C3B"/>
    <w:rsid w:val="00E5551D"/>
    <w:rsid w:val="00E56F3E"/>
    <w:rsid w:val="00E57BCF"/>
    <w:rsid w:val="00E60D32"/>
    <w:rsid w:val="00E64029"/>
    <w:rsid w:val="00E672C2"/>
    <w:rsid w:val="00E67A2B"/>
    <w:rsid w:val="00E717DF"/>
    <w:rsid w:val="00E728ED"/>
    <w:rsid w:val="00E766E8"/>
    <w:rsid w:val="00E81784"/>
    <w:rsid w:val="00E86169"/>
    <w:rsid w:val="00E868DF"/>
    <w:rsid w:val="00E91934"/>
    <w:rsid w:val="00EA1DF2"/>
    <w:rsid w:val="00EA4598"/>
    <w:rsid w:val="00EA57EA"/>
    <w:rsid w:val="00EB08E4"/>
    <w:rsid w:val="00EB6100"/>
    <w:rsid w:val="00EB7BFA"/>
    <w:rsid w:val="00EC369C"/>
    <w:rsid w:val="00EC3A07"/>
    <w:rsid w:val="00EC4600"/>
    <w:rsid w:val="00ED2DAF"/>
    <w:rsid w:val="00ED3169"/>
    <w:rsid w:val="00ED377C"/>
    <w:rsid w:val="00ED575A"/>
    <w:rsid w:val="00EE6A05"/>
    <w:rsid w:val="00EF196E"/>
    <w:rsid w:val="00EF28AB"/>
    <w:rsid w:val="00EF6272"/>
    <w:rsid w:val="00EF6FBA"/>
    <w:rsid w:val="00F04D16"/>
    <w:rsid w:val="00F05A18"/>
    <w:rsid w:val="00F069AA"/>
    <w:rsid w:val="00F1112D"/>
    <w:rsid w:val="00F12682"/>
    <w:rsid w:val="00F13BB1"/>
    <w:rsid w:val="00F1549A"/>
    <w:rsid w:val="00F16EDC"/>
    <w:rsid w:val="00F21C0C"/>
    <w:rsid w:val="00F224A0"/>
    <w:rsid w:val="00F25802"/>
    <w:rsid w:val="00F25E56"/>
    <w:rsid w:val="00F26762"/>
    <w:rsid w:val="00F3203E"/>
    <w:rsid w:val="00F3466B"/>
    <w:rsid w:val="00F3751E"/>
    <w:rsid w:val="00F433F7"/>
    <w:rsid w:val="00F5225D"/>
    <w:rsid w:val="00F55A78"/>
    <w:rsid w:val="00F60F2A"/>
    <w:rsid w:val="00F62913"/>
    <w:rsid w:val="00F76219"/>
    <w:rsid w:val="00F77BF6"/>
    <w:rsid w:val="00F822B2"/>
    <w:rsid w:val="00F844C2"/>
    <w:rsid w:val="00F855BC"/>
    <w:rsid w:val="00F85A52"/>
    <w:rsid w:val="00F87842"/>
    <w:rsid w:val="00F970D4"/>
    <w:rsid w:val="00FA3C6E"/>
    <w:rsid w:val="00FA75F2"/>
    <w:rsid w:val="00FB428A"/>
    <w:rsid w:val="00FB5828"/>
    <w:rsid w:val="00FC6CC4"/>
    <w:rsid w:val="00FE39CF"/>
    <w:rsid w:val="00FE601A"/>
    <w:rsid w:val="00FF30DE"/>
    <w:rsid w:val="00FF4216"/>
    <w:rsid w:val="0280BE03"/>
    <w:rsid w:val="0DC884C3"/>
    <w:rsid w:val="10560191"/>
    <w:rsid w:val="11191406"/>
    <w:rsid w:val="116AAC70"/>
    <w:rsid w:val="11F1D1F2"/>
    <w:rsid w:val="12C023C6"/>
    <w:rsid w:val="138DA253"/>
    <w:rsid w:val="175B49CC"/>
    <w:rsid w:val="18611376"/>
    <w:rsid w:val="186AA369"/>
    <w:rsid w:val="1D348499"/>
    <w:rsid w:val="1DC1E030"/>
    <w:rsid w:val="1ED054FA"/>
    <w:rsid w:val="22762747"/>
    <w:rsid w:val="23185602"/>
    <w:rsid w:val="232E4B6A"/>
    <w:rsid w:val="2A1AF527"/>
    <w:rsid w:val="2ABEBAC8"/>
    <w:rsid w:val="2EEE664A"/>
    <w:rsid w:val="38AA067F"/>
    <w:rsid w:val="3A45D6E0"/>
    <w:rsid w:val="44B295CD"/>
    <w:rsid w:val="48035EEC"/>
    <w:rsid w:val="498606F0"/>
    <w:rsid w:val="4CE362FC"/>
    <w:rsid w:val="4E597813"/>
    <w:rsid w:val="5AED8460"/>
    <w:rsid w:val="6095750A"/>
    <w:rsid w:val="61D3309B"/>
    <w:rsid w:val="6D90F063"/>
    <w:rsid w:val="7963F201"/>
    <w:rsid w:val="7B4E9D6A"/>
    <w:rsid w:val="7D1452C8"/>
    <w:rsid w:val="7DE29B2C"/>
    <w:rsid w:val="7F7E6B8D"/>
    <w:rsid w:val="7FCA8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14CD"/>
  <w15:chartTrackingRefBased/>
  <w15:docId w15:val="{E484046C-CBB9-4332-B33B-B39D8678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DA1"/>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A1B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1B7A"/>
    <w:rPr>
      <w:sz w:val="20"/>
      <w:szCs w:val="20"/>
    </w:rPr>
  </w:style>
  <w:style w:type="character" w:styleId="FootnoteReference">
    <w:name w:val="footnote reference"/>
    <w:basedOn w:val="DefaultParagraphFont"/>
    <w:uiPriority w:val="99"/>
    <w:semiHidden/>
    <w:unhideWhenUsed/>
    <w:rsid w:val="00BA1B7A"/>
    <w:rPr>
      <w:vertAlign w:val="superscript"/>
    </w:rPr>
  </w:style>
  <w:style w:type="paragraph" w:styleId="ListParagraph">
    <w:name w:val="List Paragraph"/>
    <w:basedOn w:val="Normal"/>
    <w:uiPriority w:val="34"/>
    <w:qFormat/>
    <w:rsid w:val="00072427"/>
    <w:pPr>
      <w:ind w:left="720"/>
      <w:contextualSpacing/>
    </w:pPr>
  </w:style>
  <w:style w:type="character" w:styleId="CommentReference">
    <w:name w:val="annotation reference"/>
    <w:basedOn w:val="DefaultParagraphFont"/>
    <w:uiPriority w:val="99"/>
    <w:semiHidden/>
    <w:unhideWhenUsed/>
    <w:rsid w:val="009B470C"/>
    <w:rPr>
      <w:sz w:val="16"/>
      <w:szCs w:val="16"/>
    </w:rPr>
  </w:style>
  <w:style w:type="paragraph" w:styleId="CommentText">
    <w:name w:val="annotation text"/>
    <w:basedOn w:val="Normal"/>
    <w:link w:val="CommentTextChar"/>
    <w:uiPriority w:val="99"/>
    <w:unhideWhenUsed/>
    <w:rsid w:val="009B470C"/>
    <w:pPr>
      <w:spacing w:line="240" w:lineRule="auto"/>
    </w:pPr>
    <w:rPr>
      <w:sz w:val="20"/>
      <w:szCs w:val="20"/>
    </w:rPr>
  </w:style>
  <w:style w:type="character" w:customStyle="1" w:styleId="CommentTextChar">
    <w:name w:val="Comment Text Char"/>
    <w:basedOn w:val="DefaultParagraphFont"/>
    <w:link w:val="CommentText"/>
    <w:uiPriority w:val="99"/>
    <w:rsid w:val="009B470C"/>
    <w:rPr>
      <w:sz w:val="20"/>
      <w:szCs w:val="20"/>
    </w:rPr>
  </w:style>
  <w:style w:type="paragraph" w:styleId="CommentSubject">
    <w:name w:val="annotation subject"/>
    <w:basedOn w:val="CommentText"/>
    <w:next w:val="CommentText"/>
    <w:link w:val="CommentSubjectChar"/>
    <w:uiPriority w:val="99"/>
    <w:semiHidden/>
    <w:unhideWhenUsed/>
    <w:rsid w:val="009B470C"/>
    <w:rPr>
      <w:b/>
      <w:bCs/>
    </w:rPr>
  </w:style>
  <w:style w:type="character" w:customStyle="1" w:styleId="CommentSubjectChar">
    <w:name w:val="Comment Subject Char"/>
    <w:basedOn w:val="CommentTextChar"/>
    <w:link w:val="CommentSubject"/>
    <w:uiPriority w:val="99"/>
    <w:semiHidden/>
    <w:rsid w:val="009B470C"/>
    <w:rPr>
      <w:b/>
      <w:bCs/>
      <w:sz w:val="20"/>
      <w:szCs w:val="20"/>
    </w:rPr>
  </w:style>
  <w:style w:type="paragraph" w:styleId="Revision">
    <w:name w:val="Revision"/>
    <w:hidden/>
    <w:uiPriority w:val="99"/>
    <w:semiHidden/>
    <w:rsid w:val="00AE1E19"/>
    <w:pPr>
      <w:spacing w:after="0" w:line="240" w:lineRule="auto"/>
    </w:pPr>
  </w:style>
  <w:style w:type="character" w:styleId="EndnoteReference">
    <w:name w:val="endnote reference"/>
    <w:basedOn w:val="DefaultParagraphFont"/>
    <w:uiPriority w:val="99"/>
    <w:semiHidden/>
    <w:unhideWhenUsed/>
    <w:rsid w:val="00DE5CF0"/>
    <w:rPr>
      <w:vertAlign w:val="superscript"/>
    </w:rPr>
  </w:style>
  <w:style w:type="paragraph" w:styleId="Bibliography">
    <w:name w:val="Bibliography"/>
    <w:basedOn w:val="Normal"/>
    <w:next w:val="Normal"/>
    <w:uiPriority w:val="37"/>
    <w:unhideWhenUsed/>
    <w:rsid w:val="00F62913"/>
    <w:pPr>
      <w:spacing w:after="240" w:line="240" w:lineRule="auto"/>
    </w:pPr>
  </w:style>
  <w:style w:type="paragraph" w:styleId="Title">
    <w:name w:val="Title"/>
    <w:basedOn w:val="Normal"/>
    <w:next w:val="Normal"/>
    <w:link w:val="TitleChar"/>
    <w:uiPriority w:val="10"/>
    <w:qFormat/>
    <w:rsid w:val="00E868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8D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D6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317"/>
  </w:style>
  <w:style w:type="paragraph" w:styleId="Footer">
    <w:name w:val="footer"/>
    <w:basedOn w:val="Normal"/>
    <w:link w:val="FooterChar"/>
    <w:uiPriority w:val="99"/>
    <w:unhideWhenUsed/>
    <w:rsid w:val="002D6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9C6CA-FBDC-412C-A3B1-A2E51CCC4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5489</Words>
  <Characters>31288</Characters>
  <Application>Microsoft Office Word</Application>
  <DocSecurity>0</DocSecurity>
  <Lines>260</Lines>
  <Paragraphs>73</Paragraphs>
  <ScaleCrop>false</ScaleCrop>
  <Company/>
  <LinksUpToDate>false</LinksUpToDate>
  <CharactersWithSpaces>36704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Xandru Cassar</dc:creator>
  <cp:keywords/>
  <dc:description/>
  <cp:lastModifiedBy>Xandru Cassar</cp:lastModifiedBy>
  <cp:revision>703</cp:revision>
  <dcterms:created xsi:type="dcterms:W3CDTF">2022-10-26T10:48:00Z</dcterms:created>
  <dcterms:modified xsi:type="dcterms:W3CDTF">2022-11-07T08:23:00Z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id="xsN1PSZF"/&gt;&lt;style id="http://www.zotero.org/styles/harvard-cite-them-right" hasBibliography="1" bibliographyStyleHasBeenSet="1"/&gt;&lt;prefs&gt;&lt;pref name="fieldType" value="Field"/&gt;&lt;/prefs&gt;&lt;/data&gt;</vt:lpwstr>
  </property>
</Properties>
</file>