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E156" w14:textId="0FB95E78" w:rsidR="001D1FDC" w:rsidRDefault="00676CFB" w:rsidP="006806AA">
      <w:pPr>
        <w:pStyle w:val="Title"/>
        <w:spacing w:line="276" w:lineRule="auto"/>
      </w:pPr>
      <w:r>
        <w:t>An e</w:t>
      </w:r>
      <w:r w:rsidR="00034BD3">
        <w:t>conometric</w:t>
      </w:r>
      <w:r w:rsidR="00611CD2">
        <w:t xml:space="preserve"> </w:t>
      </w:r>
      <w:r w:rsidR="00034BD3">
        <w:t>estimati</w:t>
      </w:r>
      <w:r w:rsidR="007219FC">
        <w:t>on of</w:t>
      </w:r>
      <w:r w:rsidR="00034BD3">
        <w:t xml:space="preserve"> the influence of extension and </w:t>
      </w:r>
      <w:r w:rsidR="00C469B1">
        <w:t>social</w:t>
      </w:r>
      <w:r w:rsidR="00034BD3">
        <w:t xml:space="preserve"> networks on technology knowledge and uptake </w:t>
      </w:r>
      <w:r w:rsidR="00BA24E1">
        <w:t xml:space="preserve">amongst </w:t>
      </w:r>
      <w:r w:rsidR="00CD3814">
        <w:t xml:space="preserve">Kenyan dairy farmers. </w:t>
      </w:r>
    </w:p>
    <w:p w14:paraId="24F4A1D3" w14:textId="77777777" w:rsidR="001D1FDC" w:rsidRPr="001D1FDC" w:rsidRDefault="001D1FDC" w:rsidP="00856BE3">
      <w:pPr>
        <w:spacing w:line="480" w:lineRule="auto"/>
      </w:pPr>
    </w:p>
    <w:p w14:paraId="59A41B96" w14:textId="77777777" w:rsidR="00866B95" w:rsidRDefault="00866B95" w:rsidP="00856BE3">
      <w:pPr>
        <w:pStyle w:val="Heading1"/>
        <w:spacing w:line="480" w:lineRule="auto"/>
      </w:pPr>
      <w:r>
        <w:t>Hypothesis</w:t>
      </w:r>
    </w:p>
    <w:p w14:paraId="63D5CB03" w14:textId="731F2485" w:rsidR="00C63DF9" w:rsidRPr="00856BE3" w:rsidRDefault="00F8668C" w:rsidP="00856BE3">
      <w:pPr>
        <w:spacing w:line="480" w:lineRule="auto"/>
        <w:rPr>
          <w:sz w:val="24"/>
          <w:szCs w:val="24"/>
        </w:rPr>
      </w:pPr>
      <w:r w:rsidRPr="00856BE3">
        <w:rPr>
          <w:sz w:val="24"/>
          <w:szCs w:val="24"/>
        </w:rPr>
        <w:t>The influence of a</w:t>
      </w:r>
      <w:r w:rsidR="00F61586" w:rsidRPr="00856BE3">
        <w:rPr>
          <w:sz w:val="24"/>
          <w:szCs w:val="24"/>
        </w:rPr>
        <w:t xml:space="preserve">gricultural extension and </w:t>
      </w:r>
      <w:r w:rsidRPr="00856BE3">
        <w:rPr>
          <w:sz w:val="24"/>
          <w:szCs w:val="24"/>
        </w:rPr>
        <w:t>farmers’ networks</w:t>
      </w:r>
      <w:r w:rsidR="00E566ED" w:rsidRPr="00856BE3">
        <w:rPr>
          <w:rStyle w:val="FootnoteReference"/>
          <w:sz w:val="24"/>
          <w:szCs w:val="24"/>
        </w:rPr>
        <w:footnoteReference w:id="1"/>
      </w:r>
      <w:r w:rsidRPr="00856BE3">
        <w:rPr>
          <w:sz w:val="24"/>
          <w:szCs w:val="24"/>
        </w:rPr>
        <w:t xml:space="preserve"> on techno</w:t>
      </w:r>
      <w:r w:rsidR="003B1A31" w:rsidRPr="00856BE3">
        <w:rPr>
          <w:sz w:val="24"/>
          <w:szCs w:val="24"/>
        </w:rPr>
        <w:t xml:space="preserve">logy knowledge and uptake </w:t>
      </w:r>
      <w:r w:rsidR="00F91889" w:rsidRPr="00856BE3">
        <w:rPr>
          <w:sz w:val="24"/>
          <w:szCs w:val="24"/>
        </w:rPr>
        <w:t>v</w:t>
      </w:r>
      <w:r w:rsidR="003B1A31" w:rsidRPr="00856BE3">
        <w:rPr>
          <w:sz w:val="24"/>
          <w:szCs w:val="24"/>
        </w:rPr>
        <w:t>ar</w:t>
      </w:r>
      <w:r w:rsidR="00090357" w:rsidRPr="00856BE3">
        <w:rPr>
          <w:sz w:val="24"/>
          <w:szCs w:val="24"/>
        </w:rPr>
        <w:t>ies</w:t>
      </w:r>
      <w:r w:rsidR="00290608" w:rsidRPr="00856BE3">
        <w:rPr>
          <w:sz w:val="24"/>
          <w:szCs w:val="24"/>
        </w:rPr>
        <w:t xml:space="preserve"> </w:t>
      </w:r>
      <w:r w:rsidR="003B1A31" w:rsidRPr="00856BE3">
        <w:rPr>
          <w:sz w:val="24"/>
          <w:szCs w:val="24"/>
        </w:rPr>
        <w:t>with</w:t>
      </w:r>
      <w:r w:rsidR="004A6982" w:rsidRPr="00856BE3">
        <w:rPr>
          <w:sz w:val="24"/>
          <w:szCs w:val="24"/>
        </w:rPr>
        <w:t xml:space="preserve"> </w:t>
      </w:r>
      <w:r w:rsidR="003B1A31" w:rsidRPr="00856BE3">
        <w:rPr>
          <w:sz w:val="24"/>
          <w:szCs w:val="24"/>
        </w:rPr>
        <w:t>particular</w:t>
      </w:r>
      <w:r w:rsidR="004A6982" w:rsidRPr="00856BE3">
        <w:rPr>
          <w:sz w:val="24"/>
          <w:szCs w:val="24"/>
        </w:rPr>
        <w:t xml:space="preserve"> farmer, household, and network traits.</w:t>
      </w:r>
      <w:r w:rsidR="00BB4E1B" w:rsidRPr="00856BE3">
        <w:rPr>
          <w:sz w:val="24"/>
          <w:szCs w:val="24"/>
        </w:rPr>
        <w:t xml:space="preserve"> </w:t>
      </w:r>
    </w:p>
    <w:p w14:paraId="6204E8DE" w14:textId="5A2B109E" w:rsidR="008E440E" w:rsidRDefault="008E440E" w:rsidP="00C738B7">
      <w:pPr>
        <w:spacing w:line="480" w:lineRule="auto"/>
        <w:rPr>
          <w:sz w:val="24"/>
          <w:szCs w:val="24"/>
        </w:rPr>
      </w:pPr>
      <w:r w:rsidRPr="00856BE3">
        <w:rPr>
          <w:sz w:val="24"/>
          <w:szCs w:val="24"/>
        </w:rPr>
        <w:t>I hypothesise that:</w:t>
      </w:r>
    </w:p>
    <w:p w14:paraId="4129718A" w14:textId="7F818B3E" w:rsidR="00F254F8" w:rsidRPr="00F254F8" w:rsidRDefault="00F254F8" w:rsidP="00C738B7">
      <w:pPr>
        <w:pStyle w:val="ListParagraph"/>
        <w:numPr>
          <w:ilvl w:val="0"/>
          <w:numId w:val="3"/>
        </w:numPr>
        <w:spacing w:line="480" w:lineRule="auto"/>
        <w:rPr>
          <w:sz w:val="24"/>
          <w:szCs w:val="24"/>
        </w:rPr>
      </w:pPr>
      <w:r w:rsidRPr="00856BE3">
        <w:rPr>
          <w:sz w:val="24"/>
          <w:szCs w:val="24"/>
        </w:rPr>
        <w:t>Network and extension effects interact in determining technology knowledge/uptak</w:t>
      </w:r>
      <w:r>
        <w:rPr>
          <w:sz w:val="24"/>
          <w:szCs w:val="24"/>
        </w:rPr>
        <w:t>e,</w:t>
      </w:r>
    </w:p>
    <w:p w14:paraId="05AA9A1F" w14:textId="77777777" w:rsidR="008E440E" w:rsidRPr="00856BE3" w:rsidRDefault="005A4701" w:rsidP="00856BE3">
      <w:pPr>
        <w:pStyle w:val="ListParagraph"/>
        <w:numPr>
          <w:ilvl w:val="0"/>
          <w:numId w:val="3"/>
        </w:numPr>
        <w:spacing w:line="480" w:lineRule="auto"/>
        <w:rPr>
          <w:sz w:val="24"/>
          <w:szCs w:val="24"/>
        </w:rPr>
      </w:pPr>
      <w:r w:rsidRPr="00856BE3">
        <w:rPr>
          <w:sz w:val="24"/>
          <w:szCs w:val="24"/>
        </w:rPr>
        <w:t>The impact of all forms of extension on adoption increases with education</w:t>
      </w:r>
      <w:r w:rsidR="008E440E" w:rsidRPr="00856BE3">
        <w:rPr>
          <w:sz w:val="24"/>
          <w:szCs w:val="24"/>
        </w:rPr>
        <w:t>,</w:t>
      </w:r>
    </w:p>
    <w:p w14:paraId="34B15AE1" w14:textId="6EA4C652" w:rsidR="008E440E" w:rsidRPr="00856BE3" w:rsidRDefault="00D267D5" w:rsidP="00856BE3">
      <w:pPr>
        <w:pStyle w:val="ListParagraph"/>
        <w:numPr>
          <w:ilvl w:val="0"/>
          <w:numId w:val="3"/>
        </w:numPr>
        <w:spacing w:line="480" w:lineRule="auto"/>
        <w:rPr>
          <w:sz w:val="24"/>
          <w:szCs w:val="24"/>
        </w:rPr>
      </w:pPr>
      <w:r w:rsidRPr="00856BE3">
        <w:rPr>
          <w:sz w:val="24"/>
          <w:szCs w:val="24"/>
        </w:rPr>
        <w:t xml:space="preserve">The impact </w:t>
      </w:r>
      <w:r w:rsidR="00D40035" w:rsidRPr="00856BE3">
        <w:rPr>
          <w:sz w:val="24"/>
          <w:szCs w:val="24"/>
        </w:rPr>
        <w:t xml:space="preserve">of private extension increases with market-orientation of </w:t>
      </w:r>
      <w:r w:rsidR="008E440E" w:rsidRPr="00856BE3">
        <w:rPr>
          <w:sz w:val="24"/>
          <w:szCs w:val="24"/>
        </w:rPr>
        <w:t xml:space="preserve">production, </w:t>
      </w:r>
      <w:r w:rsidR="00F254F8">
        <w:rPr>
          <w:sz w:val="24"/>
          <w:szCs w:val="24"/>
        </w:rPr>
        <w:t>and</w:t>
      </w:r>
    </w:p>
    <w:p w14:paraId="6ADD2CB4" w14:textId="425933A5" w:rsidR="008D139C" w:rsidRPr="00856BE3" w:rsidRDefault="00024FC6" w:rsidP="00856BE3">
      <w:pPr>
        <w:pStyle w:val="ListParagraph"/>
        <w:numPr>
          <w:ilvl w:val="0"/>
          <w:numId w:val="3"/>
        </w:numPr>
        <w:spacing w:line="480" w:lineRule="auto"/>
        <w:rPr>
          <w:sz w:val="24"/>
          <w:szCs w:val="24"/>
        </w:rPr>
      </w:pPr>
      <w:r w:rsidRPr="00856BE3">
        <w:rPr>
          <w:sz w:val="24"/>
          <w:szCs w:val="24"/>
        </w:rPr>
        <w:t>T</w:t>
      </w:r>
      <w:r w:rsidR="00B45825" w:rsidRPr="00856BE3">
        <w:rPr>
          <w:sz w:val="24"/>
          <w:szCs w:val="24"/>
        </w:rPr>
        <w:t xml:space="preserve">hose will little social capital are expected to gain least from </w:t>
      </w:r>
      <w:r w:rsidR="00C81D31" w:rsidRPr="00856BE3">
        <w:rPr>
          <w:sz w:val="24"/>
          <w:szCs w:val="24"/>
        </w:rPr>
        <w:t>network diffusion</w:t>
      </w:r>
      <w:r w:rsidR="00F254F8">
        <w:rPr>
          <w:sz w:val="24"/>
          <w:szCs w:val="24"/>
        </w:rPr>
        <w:t>.</w:t>
      </w:r>
    </w:p>
    <w:p w14:paraId="65405943" w14:textId="77777777" w:rsidR="00866B95" w:rsidRDefault="00866B95" w:rsidP="00856BE3">
      <w:pPr>
        <w:pStyle w:val="Heading1"/>
        <w:spacing w:line="480" w:lineRule="auto"/>
      </w:pPr>
      <w:r>
        <w:lastRenderedPageBreak/>
        <w:t>Rationale</w:t>
      </w:r>
    </w:p>
    <w:p w14:paraId="40199E42" w14:textId="5525B80F" w:rsidR="00B25D5D" w:rsidRPr="00856BE3" w:rsidRDefault="00AB48D5" w:rsidP="00856BE3">
      <w:pPr>
        <w:spacing w:line="480" w:lineRule="auto"/>
        <w:rPr>
          <w:sz w:val="24"/>
          <w:szCs w:val="24"/>
        </w:rPr>
      </w:pPr>
      <w:r>
        <w:rPr>
          <w:sz w:val="24"/>
          <w:szCs w:val="24"/>
        </w:rPr>
        <w:t>P</w:t>
      </w:r>
      <w:r w:rsidR="00866B95" w:rsidRPr="00856BE3">
        <w:rPr>
          <w:sz w:val="24"/>
          <w:szCs w:val="24"/>
        </w:rPr>
        <w:t>oor outcomes of public extension systems</w:t>
      </w:r>
      <w:r w:rsidR="008A2AE3" w:rsidRPr="00856BE3">
        <w:rPr>
          <w:rStyle w:val="FootnoteReference"/>
          <w:sz w:val="24"/>
          <w:szCs w:val="24"/>
        </w:rPr>
        <w:footnoteReference w:id="2"/>
      </w:r>
      <w:r w:rsidR="00866B95" w:rsidRPr="00856BE3">
        <w:rPr>
          <w:sz w:val="24"/>
          <w:szCs w:val="24"/>
        </w:rPr>
        <w:t xml:space="preserve"> and pressures to reduce cost</w:t>
      </w:r>
      <w:r w:rsidR="00E27F6E" w:rsidRPr="00856BE3">
        <w:rPr>
          <w:sz w:val="24"/>
          <w:szCs w:val="24"/>
        </w:rPr>
        <w:t>s</w:t>
      </w:r>
      <w:r w:rsidR="00866B95" w:rsidRPr="00856BE3">
        <w:rPr>
          <w:sz w:val="24"/>
          <w:szCs w:val="24"/>
        </w:rPr>
        <w:t xml:space="preserve"> at the end of the last century </w:t>
      </w:r>
      <w:r w:rsidR="00E67454" w:rsidRPr="00856BE3">
        <w:rPr>
          <w:sz w:val="24"/>
          <w:szCs w:val="24"/>
        </w:rPr>
        <w:t xml:space="preserve">spurred </w:t>
      </w:r>
      <w:r w:rsidR="00A145FC" w:rsidRPr="00856BE3">
        <w:rPr>
          <w:sz w:val="24"/>
          <w:szCs w:val="24"/>
        </w:rPr>
        <w:t>a shift away from direct extension</w:t>
      </w:r>
      <w:r w:rsidR="00876413" w:rsidRPr="00856BE3">
        <w:rPr>
          <w:sz w:val="24"/>
          <w:szCs w:val="24"/>
        </w:rPr>
        <w:t xml:space="preserve">, </w:t>
      </w:r>
      <w:r w:rsidR="00A145FC" w:rsidRPr="00856BE3">
        <w:rPr>
          <w:sz w:val="24"/>
          <w:szCs w:val="24"/>
        </w:rPr>
        <w:t xml:space="preserve">towards </w:t>
      </w:r>
      <w:r w:rsidR="004F5C57" w:rsidRPr="00856BE3">
        <w:rPr>
          <w:sz w:val="24"/>
          <w:szCs w:val="24"/>
        </w:rPr>
        <w:t xml:space="preserve">cheaper </w:t>
      </w:r>
      <w:r w:rsidR="00990301" w:rsidRPr="00856BE3">
        <w:rPr>
          <w:sz w:val="24"/>
          <w:szCs w:val="24"/>
        </w:rPr>
        <w:t>network</w:t>
      </w:r>
      <w:r w:rsidR="00A145FC" w:rsidRPr="00856BE3">
        <w:rPr>
          <w:sz w:val="24"/>
          <w:szCs w:val="24"/>
        </w:rPr>
        <w:t>-drive</w:t>
      </w:r>
      <w:r w:rsidR="004F5C57" w:rsidRPr="00856BE3">
        <w:rPr>
          <w:sz w:val="24"/>
          <w:szCs w:val="24"/>
        </w:rPr>
        <w:t>n methods</w:t>
      </w:r>
      <w:r w:rsidR="00990301" w:rsidRPr="00856BE3">
        <w:rPr>
          <w:sz w:val="24"/>
          <w:szCs w:val="24"/>
        </w:rPr>
        <w:t xml:space="preserve"> of diffusion</w:t>
      </w:r>
      <w:r w:rsidR="004F5C57" w:rsidRPr="00856BE3">
        <w:rPr>
          <w:sz w:val="24"/>
          <w:szCs w:val="24"/>
        </w:rPr>
        <w:t xml:space="preserve"> such as </w:t>
      </w:r>
      <w:r w:rsidR="00866B95" w:rsidRPr="00856BE3">
        <w:rPr>
          <w:sz w:val="24"/>
          <w:szCs w:val="24"/>
        </w:rPr>
        <w:t>farmer-to-farmer extension</w:t>
      </w:r>
      <w:r w:rsidR="00866B95" w:rsidRPr="00856BE3">
        <w:rPr>
          <w:rStyle w:val="FootnoteReference"/>
          <w:sz w:val="24"/>
          <w:szCs w:val="24"/>
        </w:rPr>
        <w:footnoteReference w:id="3"/>
      </w:r>
      <w:r w:rsidR="00866B95" w:rsidRPr="00856BE3">
        <w:rPr>
          <w:sz w:val="24"/>
          <w:szCs w:val="24"/>
        </w:rPr>
        <w:t xml:space="preserve"> </w:t>
      </w:r>
      <w:r w:rsidR="00866B95" w:rsidRPr="00856BE3">
        <w:rPr>
          <w:sz w:val="24"/>
          <w:szCs w:val="24"/>
        </w:rPr>
        <w:fldChar w:fldCharType="begin"/>
      </w:r>
      <w:r w:rsidR="008A1B5A">
        <w:rPr>
          <w:sz w:val="24"/>
          <w:szCs w:val="24"/>
        </w:rPr>
        <w:instrText xml:space="preserve"> ADDIN ZOTERO_ITEM CSL_CITATION {"citationID":"bOsRVYCe","properties":{"formattedCitation":"(Kiptot and Franzel, 2015, p. 505; Takahashi, Muraoka and Otsuka, 2020, p. 32)","plainCitation":"(Kiptot and Franzel, 2015, p. 505; Takahashi, Muraoka and Otsuka, 2020, p. 32)","dontUpdate":true,"noteIndex":0},"citationItems":[{"id":1798,"uris":["http://zotero.org/users/7916616/items/FV6424PJ"],"itemData":{"id":1798,"type":"article-journal","abstract":"Farmer-to-farmer extension (FFE) is playing a complementary role to formal extension services in facilitating the spread of agricultural technologies and improving farmers’ capacities. The effectiveness and sustainability of such programmes depend on volunteer farmer trainers (VFTs) having technical skills and overcoming process-related challenges that hinder them from achieving the desired outcomes. This article uses quantitative and qualitative data collected from seven sites to explore the challenges experienced by VFTs as they share their knowledge on livestock feed innovations in a dairy development project in Kenya. Sustainable opportunities for enhancing VFTs’ performance are discussed.","container-title":"Development in Practice","DOI":"10.1080/09614524.2015.1029438","ISSN":"0961-4524","issue":"4","note":"publisher: Routledge\n_eprint: https://doi.org/10.1080/09614524.2015.1029438","page":"503-517","source":"Taylor and Francis+NEJM","title":"Farmer-to-farmer extension: opportunities for enhancing performance of volunteer farmer trainers in Kenya","title-short":"Farmer-to-farmer extension","URL":"https://doi.org/10.1080/09614524.2015.1029438","volume":"25","author":[{"family":"Kiptot","given":"Evelyne"},{"family":"Franzel","given":"Steven"}],"accessed":{"date-parts":[["2022",10,24]]},"issued":{"date-parts":[["2015",5,19]]}},"locator":"505"},{"id":1479,"uris":["http://zotero.org/users/7916616/items/I42GKV7D"],"itemData":{"id":1479,"type":"article-journal","abstract":"Given the stagnant agricultural productivity and persistent food insecurity in low-income countries—notably in sub-Saharan Africa (SSA)—there has been continued interest in the adoption of new technology and its impact on productivity in these regions. To increase crop yields and sustain yield gains, recent case studies of technology adoption unanimously recommend the adoption of integrated farm management systems, particularly in SSA. On the other hand, there have been increasing numbers of studies on social network or farmer-to-farmer technology extension. These studies explore more efficient extension systems than traditional public-sector extension approaches. This article reviews both recent case studies of technology adoption and its productivity impacts as well as studies on agricultural extension to identify common findings, shortcomings, and major remaining issues.","container-title":"Agricultural Economics","DOI":"10.1111/agec.12539","ISSN":"1574-0862","issue":"1","language":"en","note":"_eprint: https://onlinelibrary.wiley.com/doi/pdf/10.1111/agec.12539","page":"31-45","source":"Wiley Online Library","title":"Technology adoption, impact, and extension in developing countries’ agriculture: A review of the recent literature","title-short":"Technology adoption, impact, and extension in developing countries’ agriculture","URL":"https://onlinelibrary.wiley.com/doi/abs/10.1111/agec.12539","volume":"51","author":[{"family":"Takahashi","given":"Kazushi"},{"family":"Muraoka","given":"Rie"},{"family":"Otsuka","given":"Keijiro"}],"accessed":{"date-parts":[["2022",10,20]]},"issued":{"date-parts":[["2020"]]}},"locator":"32"}],"schema":"https://github.com/citation-style-language/schema/raw/master/csl-citation.json"} </w:instrText>
      </w:r>
      <w:r w:rsidR="00866B95" w:rsidRPr="00856BE3">
        <w:rPr>
          <w:sz w:val="24"/>
          <w:szCs w:val="24"/>
        </w:rPr>
        <w:fldChar w:fldCharType="separate"/>
      </w:r>
      <w:r w:rsidR="00645A9B" w:rsidRPr="00856BE3">
        <w:rPr>
          <w:rFonts w:ascii="Calibri" w:hAnsi="Calibri" w:cs="Calibri"/>
          <w:sz w:val="24"/>
          <w:szCs w:val="24"/>
        </w:rPr>
        <w:t>(Kiptot and Franzel, 2015, p.505; Takahashi, Muraoka and Otsuka, 2020, p.32)</w:t>
      </w:r>
      <w:r w:rsidR="00866B95" w:rsidRPr="00856BE3">
        <w:rPr>
          <w:sz w:val="24"/>
          <w:szCs w:val="24"/>
        </w:rPr>
        <w:fldChar w:fldCharType="end"/>
      </w:r>
      <w:r w:rsidR="00866B95" w:rsidRPr="00856BE3">
        <w:rPr>
          <w:sz w:val="24"/>
          <w:szCs w:val="24"/>
        </w:rPr>
        <w:t xml:space="preserve">. </w:t>
      </w:r>
      <w:r w:rsidR="00293D3A" w:rsidRPr="00856BE3">
        <w:rPr>
          <w:sz w:val="24"/>
          <w:szCs w:val="24"/>
        </w:rPr>
        <w:t>The current economic climate of</w:t>
      </w:r>
      <w:r w:rsidR="00590853" w:rsidRPr="00856BE3">
        <w:rPr>
          <w:sz w:val="24"/>
          <w:szCs w:val="24"/>
        </w:rPr>
        <w:t xml:space="preserve"> high inflation</w:t>
      </w:r>
      <w:r w:rsidR="00DA143A" w:rsidRPr="00856BE3">
        <w:rPr>
          <w:sz w:val="24"/>
          <w:szCs w:val="24"/>
        </w:rPr>
        <w:t xml:space="preserve"> and </w:t>
      </w:r>
      <w:r w:rsidR="00293D3A" w:rsidRPr="00856BE3">
        <w:rPr>
          <w:sz w:val="24"/>
          <w:szCs w:val="24"/>
        </w:rPr>
        <w:t xml:space="preserve">rising </w:t>
      </w:r>
      <w:r w:rsidR="00DA143A" w:rsidRPr="00856BE3">
        <w:rPr>
          <w:sz w:val="24"/>
          <w:szCs w:val="24"/>
        </w:rPr>
        <w:t>interest rates</w:t>
      </w:r>
      <w:r w:rsidR="00B25D5D" w:rsidRPr="00856BE3">
        <w:rPr>
          <w:sz w:val="24"/>
          <w:szCs w:val="24"/>
        </w:rPr>
        <w:t xml:space="preserve"> </w:t>
      </w:r>
      <w:r w:rsidR="00293D3A" w:rsidRPr="00856BE3">
        <w:rPr>
          <w:sz w:val="24"/>
          <w:szCs w:val="24"/>
        </w:rPr>
        <w:t>is recreating these circumstances</w:t>
      </w:r>
      <w:r w:rsidR="0003798E" w:rsidRPr="00856BE3">
        <w:rPr>
          <w:sz w:val="24"/>
          <w:szCs w:val="24"/>
        </w:rPr>
        <w:t>,</w:t>
      </w:r>
      <w:r w:rsidR="00590853" w:rsidRPr="00856BE3">
        <w:rPr>
          <w:sz w:val="24"/>
          <w:szCs w:val="24"/>
        </w:rPr>
        <w:t xml:space="preserve"> push</w:t>
      </w:r>
      <w:r w:rsidR="00876413" w:rsidRPr="00856BE3">
        <w:rPr>
          <w:sz w:val="24"/>
          <w:szCs w:val="24"/>
        </w:rPr>
        <w:t>ing</w:t>
      </w:r>
      <w:r w:rsidR="00590853" w:rsidRPr="00856BE3">
        <w:rPr>
          <w:sz w:val="24"/>
          <w:szCs w:val="24"/>
        </w:rPr>
        <w:t xml:space="preserve"> private and public entities to cut budgets </w:t>
      </w:r>
      <w:r w:rsidR="00590853" w:rsidRPr="00856BE3">
        <w:rPr>
          <w:sz w:val="24"/>
          <w:szCs w:val="24"/>
        </w:rPr>
        <w:fldChar w:fldCharType="begin"/>
      </w:r>
      <w:r w:rsidR="00590853" w:rsidRPr="00856BE3">
        <w:rPr>
          <w:sz w:val="24"/>
          <w:szCs w:val="24"/>
        </w:rPr>
        <w:instrText xml:space="preserve"> ADDIN ZOTERO_ITEM CSL_CITATION {"citationID":"vXwqiLtf","properties":{"formattedCitation":"(Clarke, 2021)","plainCitation":"(Clarke, 2021)","noteIndex":0},"citationItems":[{"id":1619,"uris":["http://zotero.org/users/7916616/items/P5S2LD72"],"itemData":{"id":1619,"type":"webpage","abstract":"A surprise bout of inflation is a major risk for the global economy, but monetary authorities in advanced markets are expected to be relatively tolerant of the phenomenon, not wanting to choke off a post-pandemic recovery before output gaps narrow further. This provides African central banks with much-needed policy space, especially for open economies and those with limited monetary sovereignty, and although inflation on the continent will rise in 2021, central banks are unlikely to turn off the monetary taps just yet.","container-title":"Economist Intelligence Unit","language":"en-GB","title":"Inflation rising in Africa, but central banks to be tolerant","URL":"https://www.eiu.com/n/inflation-rising-in-africa-but-central-banks-to-be-tolerant/","author":[{"family":"Clarke","given":"Stuart"}],"accessed":{"date-parts":[["2022",10,22]]},"issued":{"date-parts":[["2021",6,16]]}}}],"schema":"https://github.com/citation-style-language/schema/raw/master/csl-citation.json"} </w:instrText>
      </w:r>
      <w:r w:rsidR="00590853" w:rsidRPr="00856BE3">
        <w:rPr>
          <w:sz w:val="24"/>
          <w:szCs w:val="24"/>
        </w:rPr>
        <w:fldChar w:fldCharType="separate"/>
      </w:r>
      <w:r w:rsidR="00590853" w:rsidRPr="00856BE3">
        <w:rPr>
          <w:rFonts w:ascii="Calibri" w:hAnsi="Calibri" w:cs="Calibri"/>
          <w:sz w:val="24"/>
          <w:szCs w:val="24"/>
        </w:rPr>
        <w:t>(Clarke, 2021)</w:t>
      </w:r>
      <w:r w:rsidR="00590853" w:rsidRPr="00856BE3">
        <w:rPr>
          <w:sz w:val="24"/>
          <w:szCs w:val="24"/>
        </w:rPr>
        <w:fldChar w:fldCharType="end"/>
      </w:r>
      <w:r w:rsidR="00E34824" w:rsidRPr="00856BE3">
        <w:rPr>
          <w:sz w:val="24"/>
          <w:szCs w:val="24"/>
        </w:rPr>
        <w:t xml:space="preserve"> </w:t>
      </w:r>
      <w:r w:rsidR="00A53065" w:rsidRPr="00856BE3">
        <w:rPr>
          <w:sz w:val="24"/>
          <w:szCs w:val="24"/>
        </w:rPr>
        <w:t>whilst reducing the purchasing power of each dollar spent</w:t>
      </w:r>
      <w:r w:rsidR="00293D3A" w:rsidRPr="00856BE3">
        <w:rPr>
          <w:sz w:val="24"/>
          <w:szCs w:val="24"/>
        </w:rPr>
        <w:t>; t</w:t>
      </w:r>
      <w:r w:rsidR="00A53065" w:rsidRPr="00856BE3">
        <w:rPr>
          <w:sz w:val="24"/>
          <w:szCs w:val="24"/>
        </w:rPr>
        <w:t xml:space="preserve">his will undoubtedly </w:t>
      </w:r>
      <w:r w:rsidR="003635CE" w:rsidRPr="00856BE3">
        <w:rPr>
          <w:sz w:val="24"/>
          <w:szCs w:val="24"/>
        </w:rPr>
        <w:t xml:space="preserve">further limit the scale of </w:t>
      </w:r>
      <w:r w:rsidR="00B25D5D" w:rsidRPr="00856BE3">
        <w:rPr>
          <w:sz w:val="24"/>
          <w:szCs w:val="24"/>
        </w:rPr>
        <w:t xml:space="preserve">direct </w:t>
      </w:r>
      <w:r w:rsidR="003635CE" w:rsidRPr="00856BE3">
        <w:rPr>
          <w:sz w:val="24"/>
          <w:szCs w:val="24"/>
        </w:rPr>
        <w:t>extension</w:t>
      </w:r>
      <w:r w:rsidR="00B25D5D" w:rsidRPr="00856BE3">
        <w:rPr>
          <w:sz w:val="24"/>
          <w:szCs w:val="24"/>
        </w:rPr>
        <w:t>.</w:t>
      </w:r>
    </w:p>
    <w:p w14:paraId="6DF682CA" w14:textId="306BE907" w:rsidR="00293D3A" w:rsidRPr="00856BE3" w:rsidRDefault="00B25D5D" w:rsidP="00856BE3">
      <w:pPr>
        <w:spacing w:line="480" w:lineRule="auto"/>
        <w:rPr>
          <w:sz w:val="24"/>
          <w:szCs w:val="24"/>
        </w:rPr>
      </w:pPr>
      <w:r w:rsidRPr="00856BE3">
        <w:rPr>
          <w:sz w:val="24"/>
          <w:szCs w:val="24"/>
        </w:rPr>
        <w:t xml:space="preserve">However, the need for </w:t>
      </w:r>
      <w:r w:rsidR="00764BAB" w:rsidRPr="00856BE3">
        <w:rPr>
          <w:sz w:val="24"/>
          <w:szCs w:val="24"/>
        </w:rPr>
        <w:t>effective knowledge and technology dissemination</w:t>
      </w:r>
      <w:r w:rsidR="0003798E" w:rsidRPr="00856BE3">
        <w:rPr>
          <w:sz w:val="24"/>
          <w:szCs w:val="24"/>
        </w:rPr>
        <w:t xml:space="preserve"> in Sub-Saharan Africa (SSA)</w:t>
      </w:r>
      <w:r w:rsidR="00D80365" w:rsidRPr="00856BE3">
        <w:rPr>
          <w:sz w:val="24"/>
          <w:szCs w:val="24"/>
        </w:rPr>
        <w:t xml:space="preserve"> is higher than ever</w:t>
      </w:r>
      <w:r w:rsidR="00764BAB" w:rsidRPr="00856BE3">
        <w:rPr>
          <w:sz w:val="24"/>
          <w:szCs w:val="24"/>
        </w:rPr>
        <w:t xml:space="preserve">. </w:t>
      </w:r>
      <w:r w:rsidR="00866B95" w:rsidRPr="00856BE3">
        <w:rPr>
          <w:sz w:val="24"/>
          <w:szCs w:val="24"/>
        </w:rPr>
        <w:t xml:space="preserve">In addition to stagnant productivity growth </w:t>
      </w:r>
      <w:r w:rsidR="00866B95" w:rsidRPr="00856BE3">
        <w:rPr>
          <w:sz w:val="24"/>
          <w:szCs w:val="24"/>
        </w:rPr>
        <w:fldChar w:fldCharType="begin"/>
      </w:r>
      <w:r w:rsidR="008A1B5A">
        <w:rPr>
          <w:sz w:val="24"/>
          <w:szCs w:val="24"/>
        </w:rPr>
        <w:instrText xml:space="preserve"> ADDIN ZOTERO_ITEM CSL_CITATION {"citationID":"gGKTyExn","properties":{"formattedCitation":"(Fuglie and Wang, 2012, pp. 4\\uc0\\u8211{}5)","plainCitation":"(Fuglie and Wang, 2012, pp. 4–5)","dontUpdate":true,"noteIndex":0},"citationItems":[{"id":1618,"uris":["http://zotero.org/users/7916616/items/GI5B459B"],"itemData":{"id":1618,"type":"article-journal","language":"en","page":"7","source":"Zotero","title":"Productivity Growth in Global Agriculture Shifting to Developing Countries","author":[{"family":"Fuglie","given":"Keith"},{"family":"Wang","given":"Sun Ling"}],"issued":{"date-parts":[["2012"]]}},"locator":"4-5"}],"schema":"https://github.com/citation-style-language/schema/raw/master/csl-citation.json"} </w:instrText>
      </w:r>
      <w:r w:rsidR="00866B95" w:rsidRPr="00856BE3">
        <w:rPr>
          <w:sz w:val="24"/>
          <w:szCs w:val="24"/>
        </w:rPr>
        <w:fldChar w:fldCharType="separate"/>
      </w:r>
      <w:r w:rsidR="00866B95" w:rsidRPr="00856BE3">
        <w:rPr>
          <w:rFonts w:ascii="Calibri" w:hAnsi="Calibri" w:cs="Calibri"/>
          <w:sz w:val="24"/>
          <w:szCs w:val="24"/>
        </w:rPr>
        <w:t>(Fuglie and Wang, 2012, pp.4</w:t>
      </w:r>
      <w:r w:rsidR="00190779" w:rsidRPr="00856BE3">
        <w:rPr>
          <w:rFonts w:ascii="Calibri" w:hAnsi="Calibri" w:cs="Calibri"/>
          <w:sz w:val="24"/>
          <w:szCs w:val="24"/>
        </w:rPr>
        <w:t>-</w:t>
      </w:r>
      <w:r w:rsidR="00866B95" w:rsidRPr="00856BE3">
        <w:rPr>
          <w:rFonts w:ascii="Calibri" w:hAnsi="Calibri" w:cs="Calibri"/>
          <w:sz w:val="24"/>
          <w:szCs w:val="24"/>
        </w:rPr>
        <w:t>5)</w:t>
      </w:r>
      <w:r w:rsidR="00866B95" w:rsidRPr="00856BE3">
        <w:rPr>
          <w:sz w:val="24"/>
          <w:szCs w:val="24"/>
        </w:rPr>
        <w:fldChar w:fldCharType="end"/>
      </w:r>
      <w:r w:rsidR="00866B95" w:rsidRPr="00856BE3">
        <w:rPr>
          <w:sz w:val="24"/>
          <w:szCs w:val="24"/>
        </w:rPr>
        <w:t xml:space="preserve"> and climate change </w:t>
      </w:r>
      <w:r w:rsidR="00866B95" w:rsidRPr="00856BE3">
        <w:rPr>
          <w:sz w:val="24"/>
          <w:szCs w:val="24"/>
        </w:rPr>
        <w:fldChar w:fldCharType="begin"/>
      </w:r>
      <w:r w:rsidR="008A1B5A">
        <w:rPr>
          <w:sz w:val="24"/>
          <w:szCs w:val="24"/>
        </w:rPr>
        <w:instrText xml:space="preserve"> ADDIN ZOTERO_ITEM CSL_CITATION {"citationID":"da1L7pZ7","properties":{"formattedCitation":"(\\uc0\\u8216{}IPCC Sixth Assessment Report - Regional fact sheet - Africa\\uc0\\u8217{}, 2022)","plainCitation":"(‘IPCC Sixth Assessment Report - Regional fact sheet - Africa’, 2022)","dontUpdate":true,"noteIndex":0},"citationItems":[{"id":1451,"uris":["http://zotero.org/users/7916616/items/NJL55HLS"],"itemData":{"id":1451,"type":"document","title":"IPCC Sixth Assessment Report - Regional fact sheet - Africa","URL":"https://www.ipcc.ch/report/ar6/wg1/downloads/factsheets/IPCC_AR6_WGI_Regional_Fact_Sheet_Africa.pdf","accessed":{"date-parts":[["2022",10,19]]},"issued":{"date-parts":[["2022"]]}}}],"schema":"https://github.com/citation-style-language/schema/raw/master/csl-citation.json"} </w:instrText>
      </w:r>
      <w:r w:rsidR="00866B95" w:rsidRPr="00856BE3">
        <w:rPr>
          <w:sz w:val="24"/>
          <w:szCs w:val="24"/>
        </w:rPr>
        <w:fldChar w:fldCharType="separate"/>
      </w:r>
      <w:r w:rsidR="00866B95" w:rsidRPr="00856BE3">
        <w:rPr>
          <w:rFonts w:ascii="Calibri" w:hAnsi="Calibri" w:cs="Calibri"/>
          <w:sz w:val="24"/>
          <w:szCs w:val="24"/>
        </w:rPr>
        <w:t>(IPCC, 2022)</w:t>
      </w:r>
      <w:r w:rsidR="00866B95" w:rsidRPr="00856BE3">
        <w:rPr>
          <w:sz w:val="24"/>
          <w:szCs w:val="24"/>
        </w:rPr>
        <w:fldChar w:fldCharType="end"/>
      </w:r>
      <w:r w:rsidR="00866B95" w:rsidRPr="00856BE3">
        <w:rPr>
          <w:sz w:val="24"/>
          <w:szCs w:val="24"/>
        </w:rPr>
        <w:t xml:space="preserve">, </w:t>
      </w:r>
      <w:r w:rsidR="00125E00" w:rsidRPr="00856BE3">
        <w:rPr>
          <w:sz w:val="24"/>
          <w:szCs w:val="24"/>
        </w:rPr>
        <w:t xml:space="preserve">SSA </w:t>
      </w:r>
      <w:r w:rsidR="00866B95" w:rsidRPr="00856BE3">
        <w:rPr>
          <w:sz w:val="24"/>
          <w:szCs w:val="24"/>
        </w:rPr>
        <w:t>farmers are in need of</w:t>
      </w:r>
      <w:r w:rsidR="002E7E1C" w:rsidRPr="00856BE3">
        <w:rPr>
          <w:sz w:val="24"/>
          <w:szCs w:val="24"/>
        </w:rPr>
        <w:t xml:space="preserve"> knowledge,</w:t>
      </w:r>
      <w:r w:rsidR="00866B95" w:rsidRPr="00856BE3">
        <w:rPr>
          <w:sz w:val="24"/>
          <w:szCs w:val="24"/>
        </w:rPr>
        <w:t xml:space="preserve"> skills</w:t>
      </w:r>
      <w:r w:rsidR="0071302D">
        <w:rPr>
          <w:sz w:val="24"/>
          <w:szCs w:val="24"/>
        </w:rPr>
        <w:t>,</w:t>
      </w:r>
      <w:r w:rsidR="00866B95" w:rsidRPr="00856BE3">
        <w:rPr>
          <w:sz w:val="24"/>
          <w:szCs w:val="24"/>
        </w:rPr>
        <w:t xml:space="preserve"> and technologies to deal with the disruption </w:t>
      </w:r>
      <w:r w:rsidR="005B32D1" w:rsidRPr="00856BE3">
        <w:rPr>
          <w:sz w:val="24"/>
          <w:szCs w:val="24"/>
        </w:rPr>
        <w:t>of</w:t>
      </w:r>
      <w:r w:rsidR="00866B95" w:rsidRPr="00856BE3">
        <w:rPr>
          <w:sz w:val="24"/>
          <w:szCs w:val="24"/>
        </w:rPr>
        <w:t xml:space="preserve"> input and feedstuff supplies due to Russian aggression in Ukraine </w:t>
      </w:r>
      <w:r w:rsidR="00866B95" w:rsidRPr="00856BE3">
        <w:rPr>
          <w:sz w:val="24"/>
          <w:szCs w:val="24"/>
        </w:rPr>
        <w:fldChar w:fldCharType="begin"/>
      </w:r>
      <w:r w:rsidR="00866B95" w:rsidRPr="00856BE3">
        <w:rPr>
          <w:sz w:val="24"/>
          <w:szCs w:val="24"/>
        </w:rPr>
        <w:instrText xml:space="preserve"> ADDIN ZOTERO_ITEM CSL_CITATION {"citationID":"nvAJ7J2W","properties":{"formattedCitation":"(Hatab, 2022)","plainCitation":"(Hatab, 2022)","noteIndex":0},"citationItems":[{"id":1447,"uris":["http://zotero.org/users/7916616/items/YC3SK3QC"],"itemData":{"id":1447,"type":"article-journal","abstract":"The Russian invasion of Ukraine in February 2022 has emerged as an exogenous shock to global food supply chains, which foreshadows worrying impacts on Africa’s food security and nutrition, and threaten to derail national and global efforts to end hunger and poverty and to achieve sustainable development goals on the continent. This article provides an early assessment of the implications of the invasion for Africa’s food supply chains and food security. Two particularly aggravating factors, which explain the current and likely future impact of the invasion on Africa’s food security are discussed: the timing of the invasion and the two parties involved in the conflict. The article underlines four major channels by which the invasion disrupts African food supply chains: energy markets and shipping routes, availability and prices of agricultural production inputs, domestic food price inflation, and trade sanctions and other financial measures. In addition, the article considers the risk of social and political unrest that disruption to food supply chains and spikes in domestic food prices may inflame. Finally, the paper briefly discusses options for short- and long-term responses by African governments and their development partners to mitigate the repercussions of the conflict on food supply chains, boost food and nutrition security, and build resilience of Africa’s food systems.","container-title":"Strategic Review for Southern Africa","DOI":"10.35293/srsa.v44i1.4083","ISSN":"1013-1108","issue":"1","journalAbbreviation":"SRSA","language":"en","source":"DOI.org (Crossref)","title":"Africa’s Food Security under the Shadow of the Russia-Ukraine Conflict","URL":"https://upjournals.up.ac.za/index.php/strategic_review/article/view/4256","volume":"44","author":[{"family":"Hatab","given":"Assem Abu"}],"accessed":{"date-parts":[["2022",10,19]]},"issued":{"date-parts":[["2022",7]]}}}],"schema":"https://github.com/citation-style-language/schema/raw/master/csl-citation.json"} </w:instrText>
      </w:r>
      <w:r w:rsidR="00866B95" w:rsidRPr="00856BE3">
        <w:rPr>
          <w:sz w:val="24"/>
          <w:szCs w:val="24"/>
        </w:rPr>
        <w:fldChar w:fldCharType="separate"/>
      </w:r>
      <w:r w:rsidR="00866B95" w:rsidRPr="00856BE3">
        <w:rPr>
          <w:rFonts w:ascii="Calibri" w:hAnsi="Calibri" w:cs="Calibri"/>
          <w:sz w:val="24"/>
          <w:szCs w:val="24"/>
        </w:rPr>
        <w:t>(Hatab, 2022)</w:t>
      </w:r>
      <w:r w:rsidR="00866B95" w:rsidRPr="00856BE3">
        <w:rPr>
          <w:sz w:val="24"/>
          <w:szCs w:val="24"/>
        </w:rPr>
        <w:fldChar w:fldCharType="end"/>
      </w:r>
      <w:r w:rsidR="00866B95" w:rsidRPr="00856BE3">
        <w:rPr>
          <w:sz w:val="24"/>
          <w:szCs w:val="24"/>
        </w:rPr>
        <w:t xml:space="preserve">, and droughts in the East of the continent </w:t>
      </w:r>
      <w:r w:rsidR="00866B95" w:rsidRPr="00856BE3">
        <w:rPr>
          <w:sz w:val="24"/>
          <w:szCs w:val="24"/>
        </w:rPr>
        <w:fldChar w:fldCharType="begin"/>
      </w:r>
      <w:r w:rsidR="00866B95" w:rsidRPr="00856BE3">
        <w:rPr>
          <w:sz w:val="24"/>
          <w:szCs w:val="24"/>
        </w:rPr>
        <w:instrText xml:space="preserve"> ADDIN ZOTERO_ITEM CSL_CITATION {"citationID":"negi8JPl","properties":{"formattedCitation":"(Button, 2022; Toreni {\\i{}et al.}, 2022)","plainCitation":"(Button, 2022; Toreni et al., 2022)","noteIndex":0},"citationItems":[{"id":1452,"uris":["http://zotero.org/users/7916616/items/NFSF95L3"],"itemData":{"id":1452,"type":"webpage","abstract":"Millions of people across the eastern Horn of Africa currently face the threat of starvation amid an unprecedented, multiseason drought and compounding global shocks.,","language":"en","title":"Drought-Induced Loss of Livestock in Horn of Africa Will Impact Communities “For Years to Come” | Agrilinks","URL":"http://www.agrilinks.org/post/drought-induced-loss-livestock-horn-africa-will-impact-communities-years-come","author":[{"family":"Button","given":"Hannah"}],"accessed":{"date-parts":[["2022",10,19]]},"issued":{"date-parts":[["2022",7,8]]}}},{"id":1449,"uris":["http://zotero.org/users/7916616/items/4XQ8JA3A"],"itemData":{"id":1449,"type":"report","event-place":"Luxembourg","language":"English","page":"28","publisher":"Publications Office of the European Union","publisher-place":"Luxembourg","title":"Drought in East Africa August 2022","URL":"https://edo.jrc.ec.europa.eu/documents/news/GDODroughtNews202208_East_Africa.pdf","author":[{"family":"Toreni","given":"A."},{"family":"Bavera","given":"D."},{"family":"Acosta Navarro","given":"J."},{"family":"Cammalleri","given":"C."},{"family":"Jager","given":"A.","non-dropping-particle":"de"},{"family":"Di Ciollo","given":"C."},{"family":"Hrast Essenfelder","given":"A."},{"family":"Maetens","given":"W."},{"family":"Magni","given":"D."},{"family":"Masante","given":"D."},{"family":"Mazzeschi","given":"M."},{"family":"Rembold","given":"F."},{"family":"Spinoni","given":"J."}],"accessed":{"date-parts":[["2022",10,19]]},"issued":{"date-parts":[["2022",8]]}}}],"schema":"https://github.com/citation-style-language/schema/raw/master/csl-citation.json"} </w:instrText>
      </w:r>
      <w:r w:rsidR="00866B95" w:rsidRPr="00856BE3">
        <w:rPr>
          <w:sz w:val="24"/>
          <w:szCs w:val="24"/>
        </w:rPr>
        <w:fldChar w:fldCharType="separate"/>
      </w:r>
      <w:r w:rsidR="00866B95" w:rsidRPr="00856BE3">
        <w:rPr>
          <w:rFonts w:ascii="Calibri" w:hAnsi="Calibri" w:cs="Calibri"/>
          <w:sz w:val="24"/>
          <w:szCs w:val="24"/>
        </w:rPr>
        <w:t xml:space="preserve">(Button, 2022; Toreni </w:t>
      </w:r>
      <w:r w:rsidR="00866B95" w:rsidRPr="00856BE3">
        <w:rPr>
          <w:rFonts w:ascii="Calibri" w:hAnsi="Calibri" w:cs="Calibri"/>
          <w:i/>
          <w:iCs/>
          <w:sz w:val="24"/>
          <w:szCs w:val="24"/>
        </w:rPr>
        <w:t>et al.</w:t>
      </w:r>
      <w:r w:rsidR="00866B95" w:rsidRPr="00856BE3">
        <w:rPr>
          <w:rFonts w:ascii="Calibri" w:hAnsi="Calibri" w:cs="Calibri"/>
          <w:sz w:val="24"/>
          <w:szCs w:val="24"/>
        </w:rPr>
        <w:t>,2022)</w:t>
      </w:r>
      <w:r w:rsidR="00866B95" w:rsidRPr="00856BE3">
        <w:rPr>
          <w:sz w:val="24"/>
          <w:szCs w:val="24"/>
        </w:rPr>
        <w:fldChar w:fldCharType="end"/>
      </w:r>
      <w:r w:rsidR="00866B95" w:rsidRPr="00856BE3">
        <w:rPr>
          <w:sz w:val="24"/>
          <w:szCs w:val="24"/>
        </w:rPr>
        <w:t>.</w:t>
      </w:r>
      <w:r w:rsidR="00C94003" w:rsidRPr="00856BE3">
        <w:rPr>
          <w:sz w:val="24"/>
          <w:szCs w:val="24"/>
        </w:rPr>
        <w:t xml:space="preserve"> </w:t>
      </w:r>
      <w:r w:rsidR="00F635A1" w:rsidRPr="00856BE3">
        <w:rPr>
          <w:sz w:val="24"/>
          <w:szCs w:val="24"/>
        </w:rPr>
        <w:t>Effective extension delivery</w:t>
      </w:r>
      <w:r w:rsidR="00C94003" w:rsidRPr="00856BE3">
        <w:rPr>
          <w:sz w:val="24"/>
          <w:szCs w:val="24"/>
        </w:rPr>
        <w:t xml:space="preserve"> will be critical in </w:t>
      </w:r>
      <w:r w:rsidR="00915E8A" w:rsidRPr="00856BE3">
        <w:rPr>
          <w:sz w:val="24"/>
          <w:szCs w:val="24"/>
        </w:rPr>
        <w:t xml:space="preserve">limiting the poverty, food insecurity, and instability these crises </w:t>
      </w:r>
      <w:r w:rsidR="000D16E8" w:rsidRPr="00856BE3">
        <w:rPr>
          <w:sz w:val="24"/>
          <w:szCs w:val="24"/>
        </w:rPr>
        <w:t xml:space="preserve">are </w:t>
      </w:r>
      <w:r w:rsidR="00222F67" w:rsidRPr="00856BE3">
        <w:rPr>
          <w:sz w:val="24"/>
          <w:szCs w:val="24"/>
        </w:rPr>
        <w:t>caus</w:t>
      </w:r>
      <w:r w:rsidR="000D16E8" w:rsidRPr="00856BE3">
        <w:rPr>
          <w:sz w:val="24"/>
          <w:szCs w:val="24"/>
        </w:rPr>
        <w:t>ing</w:t>
      </w:r>
      <w:r w:rsidR="00494BAD" w:rsidRPr="00856BE3">
        <w:rPr>
          <w:sz w:val="24"/>
          <w:szCs w:val="24"/>
        </w:rPr>
        <w:t>.</w:t>
      </w:r>
      <w:r w:rsidR="001B12DD" w:rsidRPr="00856BE3">
        <w:rPr>
          <w:sz w:val="24"/>
          <w:szCs w:val="24"/>
        </w:rPr>
        <w:t xml:space="preserve"> </w:t>
      </w:r>
    </w:p>
    <w:p w14:paraId="0E86F55B" w14:textId="47153C09" w:rsidR="001A10C1" w:rsidRPr="00856BE3" w:rsidRDefault="001A10C1" w:rsidP="00856BE3">
      <w:pPr>
        <w:spacing w:line="480" w:lineRule="auto"/>
        <w:rPr>
          <w:sz w:val="24"/>
          <w:szCs w:val="24"/>
        </w:rPr>
      </w:pPr>
      <w:r w:rsidRPr="00856BE3">
        <w:rPr>
          <w:sz w:val="24"/>
          <w:szCs w:val="24"/>
        </w:rPr>
        <w:t>By studying the impact different forms of extension</w:t>
      </w:r>
      <w:r w:rsidR="00CE730E" w:rsidRPr="00856BE3">
        <w:rPr>
          <w:rStyle w:val="FootnoteReference"/>
          <w:sz w:val="24"/>
          <w:szCs w:val="24"/>
        </w:rPr>
        <w:footnoteReference w:id="4"/>
      </w:r>
      <w:r w:rsidRPr="00856BE3">
        <w:rPr>
          <w:sz w:val="24"/>
          <w:szCs w:val="24"/>
        </w:rPr>
        <w:t xml:space="preserve"> and </w:t>
      </w:r>
      <w:r w:rsidR="00F33FED" w:rsidRPr="00856BE3">
        <w:rPr>
          <w:sz w:val="24"/>
          <w:szCs w:val="24"/>
        </w:rPr>
        <w:t xml:space="preserve">farmer social networks have on </w:t>
      </w:r>
      <w:r w:rsidR="000A593B" w:rsidRPr="00856BE3">
        <w:rPr>
          <w:sz w:val="24"/>
          <w:szCs w:val="24"/>
        </w:rPr>
        <w:t xml:space="preserve">knowledge and uptake of technology, this research contributes </w:t>
      </w:r>
      <w:r w:rsidRPr="00856BE3">
        <w:rPr>
          <w:sz w:val="24"/>
          <w:szCs w:val="24"/>
        </w:rPr>
        <w:t xml:space="preserve">to the </w:t>
      </w:r>
      <w:r w:rsidR="00E23242" w:rsidRPr="00856BE3">
        <w:rPr>
          <w:sz w:val="24"/>
          <w:szCs w:val="24"/>
        </w:rPr>
        <w:t>literature</w:t>
      </w:r>
      <w:r w:rsidR="00D90F22" w:rsidRPr="00856BE3">
        <w:rPr>
          <w:rStyle w:val="FootnoteReference"/>
          <w:sz w:val="24"/>
          <w:szCs w:val="24"/>
        </w:rPr>
        <w:footnoteReference w:id="5"/>
      </w:r>
      <w:r w:rsidR="00D90F22" w:rsidRPr="00856BE3">
        <w:rPr>
          <w:sz w:val="24"/>
          <w:szCs w:val="24"/>
        </w:rPr>
        <w:t xml:space="preserve"> </w:t>
      </w:r>
      <w:r w:rsidRPr="00856BE3">
        <w:rPr>
          <w:sz w:val="24"/>
          <w:szCs w:val="24"/>
        </w:rPr>
        <w:t xml:space="preserve">in </w:t>
      </w:r>
      <w:r w:rsidRPr="00856BE3">
        <w:rPr>
          <w:sz w:val="24"/>
          <w:szCs w:val="24"/>
        </w:rPr>
        <w:lastRenderedPageBreak/>
        <w:t>two ways. Firstly, it</w:t>
      </w:r>
      <w:r w:rsidR="00BC3127" w:rsidRPr="00856BE3">
        <w:rPr>
          <w:sz w:val="24"/>
          <w:szCs w:val="24"/>
        </w:rPr>
        <w:t xml:space="preserve"> provides insights into</w:t>
      </w:r>
      <w:r w:rsidRPr="00856BE3">
        <w:rPr>
          <w:sz w:val="24"/>
          <w:szCs w:val="24"/>
        </w:rPr>
        <w:t xml:space="preserve"> improv</w:t>
      </w:r>
      <w:r w:rsidR="00BC3127" w:rsidRPr="00856BE3">
        <w:rPr>
          <w:sz w:val="24"/>
          <w:szCs w:val="24"/>
        </w:rPr>
        <w:t>ing</w:t>
      </w:r>
      <w:r w:rsidRPr="00856BE3">
        <w:rPr>
          <w:sz w:val="24"/>
          <w:szCs w:val="24"/>
        </w:rPr>
        <w:t xml:space="preserve"> the efficiency of extension by identifying farmers most likely to benefit from a given form of extension. Secondly, it serves to improve the equity of extension by helping to identify those farmers likely to benefit </w:t>
      </w:r>
      <w:r w:rsidRPr="00856BE3">
        <w:rPr>
          <w:i/>
          <w:iCs/>
          <w:sz w:val="24"/>
          <w:szCs w:val="24"/>
        </w:rPr>
        <w:t>least</w:t>
      </w:r>
      <w:r w:rsidRPr="00856BE3">
        <w:rPr>
          <w:sz w:val="24"/>
          <w:szCs w:val="24"/>
        </w:rPr>
        <w:t xml:space="preserve"> from </w:t>
      </w:r>
      <w:r w:rsidR="00DE67C1" w:rsidRPr="00856BE3">
        <w:rPr>
          <w:sz w:val="24"/>
          <w:szCs w:val="24"/>
        </w:rPr>
        <w:t>the diffusion of knowledge and technology through a network</w:t>
      </w:r>
      <w:r w:rsidR="00AD2289" w:rsidRPr="00856BE3">
        <w:rPr>
          <w:sz w:val="24"/>
          <w:szCs w:val="24"/>
        </w:rPr>
        <w:t>,</w:t>
      </w:r>
      <w:r w:rsidRPr="00856BE3">
        <w:rPr>
          <w:sz w:val="24"/>
          <w:szCs w:val="24"/>
        </w:rPr>
        <w:t xml:space="preserve"> and what forms of extension are likely to serve them best. This </w:t>
      </w:r>
      <w:r w:rsidR="00AD2289" w:rsidRPr="00856BE3">
        <w:rPr>
          <w:sz w:val="24"/>
          <w:szCs w:val="24"/>
        </w:rPr>
        <w:t xml:space="preserve">research </w:t>
      </w:r>
      <w:r w:rsidRPr="00856BE3">
        <w:rPr>
          <w:sz w:val="24"/>
          <w:szCs w:val="24"/>
        </w:rPr>
        <w:t>therefore allows</w:t>
      </w:r>
      <w:r w:rsidR="00AD2289" w:rsidRPr="00856BE3">
        <w:rPr>
          <w:sz w:val="24"/>
          <w:szCs w:val="24"/>
        </w:rPr>
        <w:t xml:space="preserve"> </w:t>
      </w:r>
      <w:r w:rsidR="00402FC9" w:rsidRPr="00856BE3">
        <w:rPr>
          <w:sz w:val="24"/>
          <w:szCs w:val="24"/>
        </w:rPr>
        <w:t>scar</w:t>
      </w:r>
      <w:r w:rsidR="00AD7EBA" w:rsidRPr="00856BE3">
        <w:rPr>
          <w:sz w:val="24"/>
          <w:szCs w:val="24"/>
        </w:rPr>
        <w:t>c</w:t>
      </w:r>
      <w:r w:rsidR="00402FC9" w:rsidRPr="00856BE3">
        <w:rPr>
          <w:sz w:val="24"/>
          <w:szCs w:val="24"/>
        </w:rPr>
        <w:t xml:space="preserve">e – and increasingly scarcer - </w:t>
      </w:r>
      <w:r w:rsidR="00AD2289" w:rsidRPr="00856BE3">
        <w:rPr>
          <w:sz w:val="24"/>
          <w:szCs w:val="24"/>
        </w:rPr>
        <w:t xml:space="preserve">direct extension resources to </w:t>
      </w:r>
      <w:r w:rsidR="00E566ED" w:rsidRPr="00856BE3">
        <w:rPr>
          <w:sz w:val="24"/>
          <w:szCs w:val="24"/>
        </w:rPr>
        <w:t>be</w:t>
      </w:r>
      <w:r w:rsidR="00AD2289" w:rsidRPr="00856BE3">
        <w:rPr>
          <w:sz w:val="24"/>
          <w:szCs w:val="24"/>
        </w:rPr>
        <w:t xml:space="preserve"> </w:t>
      </w:r>
      <w:r w:rsidR="00402FC9" w:rsidRPr="00856BE3">
        <w:rPr>
          <w:sz w:val="24"/>
          <w:szCs w:val="24"/>
        </w:rPr>
        <w:t xml:space="preserve">deployed more efficiently and equitably at a </w:t>
      </w:r>
      <w:r w:rsidR="00816E0C" w:rsidRPr="00856BE3">
        <w:rPr>
          <w:sz w:val="24"/>
          <w:szCs w:val="24"/>
        </w:rPr>
        <w:t>time</w:t>
      </w:r>
      <w:r w:rsidR="00402FC9" w:rsidRPr="00856BE3">
        <w:rPr>
          <w:sz w:val="24"/>
          <w:szCs w:val="24"/>
        </w:rPr>
        <w:t xml:space="preserve"> of heightened need.</w:t>
      </w:r>
      <w:r w:rsidRPr="00856BE3">
        <w:rPr>
          <w:sz w:val="24"/>
          <w:szCs w:val="24"/>
        </w:rPr>
        <w:t xml:space="preserve"> </w:t>
      </w:r>
    </w:p>
    <w:p w14:paraId="51B1CAAE" w14:textId="3FA29B9C" w:rsidR="00866B95" w:rsidRDefault="001D491E" w:rsidP="00856BE3">
      <w:pPr>
        <w:spacing w:line="480" w:lineRule="auto"/>
      </w:pPr>
      <w:r w:rsidRPr="00856BE3">
        <w:rPr>
          <w:sz w:val="24"/>
          <w:szCs w:val="24"/>
        </w:rPr>
        <w:t>Furthermore,</w:t>
      </w:r>
      <w:r w:rsidR="005C5A3D" w:rsidRPr="00856BE3">
        <w:rPr>
          <w:sz w:val="24"/>
          <w:szCs w:val="24"/>
        </w:rPr>
        <w:t xml:space="preserve"> </w:t>
      </w:r>
      <w:r w:rsidRPr="00856BE3">
        <w:rPr>
          <w:sz w:val="24"/>
          <w:szCs w:val="24"/>
        </w:rPr>
        <w:t xml:space="preserve">the </w:t>
      </w:r>
      <w:r w:rsidR="001A10C1" w:rsidRPr="00856BE3">
        <w:rPr>
          <w:sz w:val="24"/>
          <w:szCs w:val="24"/>
        </w:rPr>
        <w:t xml:space="preserve">primary dataset available is unique in that it brings together information on farmer characteristics, network structures, </w:t>
      </w:r>
      <w:r w:rsidR="0059195A" w:rsidRPr="00856BE3">
        <w:rPr>
          <w:sz w:val="24"/>
          <w:szCs w:val="24"/>
        </w:rPr>
        <w:t xml:space="preserve">technology </w:t>
      </w:r>
      <w:r w:rsidR="001A10C1" w:rsidRPr="00856BE3">
        <w:rPr>
          <w:sz w:val="24"/>
          <w:szCs w:val="24"/>
        </w:rPr>
        <w:t>knowledge</w:t>
      </w:r>
      <w:r w:rsidR="0059195A" w:rsidRPr="00856BE3">
        <w:rPr>
          <w:sz w:val="24"/>
          <w:szCs w:val="24"/>
        </w:rPr>
        <w:t>/</w:t>
      </w:r>
      <w:r w:rsidR="001A10C1" w:rsidRPr="00856BE3">
        <w:rPr>
          <w:sz w:val="24"/>
          <w:szCs w:val="24"/>
        </w:rPr>
        <w:t>adoption,</w:t>
      </w:r>
      <w:r w:rsidR="002C2A0D" w:rsidRPr="00856BE3">
        <w:rPr>
          <w:sz w:val="24"/>
          <w:szCs w:val="24"/>
        </w:rPr>
        <w:t xml:space="preserve"> </w:t>
      </w:r>
      <w:r w:rsidR="001A10C1" w:rsidRPr="00856BE3">
        <w:rPr>
          <w:sz w:val="24"/>
          <w:szCs w:val="24"/>
        </w:rPr>
        <w:t>and preferred forms of extension</w:t>
      </w:r>
      <w:r w:rsidR="005C5A3D" w:rsidRPr="00856BE3">
        <w:rPr>
          <w:sz w:val="24"/>
          <w:szCs w:val="24"/>
        </w:rPr>
        <w:t xml:space="preserve">. </w:t>
      </w:r>
      <w:r w:rsidR="00EF49B7" w:rsidRPr="00856BE3">
        <w:rPr>
          <w:sz w:val="24"/>
          <w:szCs w:val="24"/>
        </w:rPr>
        <w:t>This research</w:t>
      </w:r>
      <w:r w:rsidR="005C5A3D" w:rsidRPr="00856BE3">
        <w:rPr>
          <w:sz w:val="24"/>
          <w:szCs w:val="24"/>
        </w:rPr>
        <w:t xml:space="preserve"> is therefore </w:t>
      </w:r>
      <w:r w:rsidR="007D303B" w:rsidRPr="00856BE3">
        <w:rPr>
          <w:sz w:val="24"/>
          <w:szCs w:val="24"/>
        </w:rPr>
        <w:t xml:space="preserve">well-poised to generate new insights </w:t>
      </w:r>
      <w:r w:rsidR="00813185" w:rsidRPr="00856BE3">
        <w:rPr>
          <w:sz w:val="24"/>
          <w:szCs w:val="24"/>
        </w:rPr>
        <w:t xml:space="preserve">by </w:t>
      </w:r>
      <w:r w:rsidR="005C5A3D" w:rsidRPr="00856BE3">
        <w:rPr>
          <w:sz w:val="24"/>
          <w:szCs w:val="24"/>
        </w:rPr>
        <w:t>being able to</w:t>
      </w:r>
      <w:r w:rsidR="006F0A83" w:rsidRPr="00856BE3">
        <w:rPr>
          <w:sz w:val="24"/>
          <w:szCs w:val="24"/>
        </w:rPr>
        <w:t xml:space="preserve"> </w:t>
      </w:r>
      <w:r w:rsidR="006F28A7" w:rsidRPr="00856BE3">
        <w:rPr>
          <w:sz w:val="24"/>
          <w:szCs w:val="24"/>
        </w:rPr>
        <w:t>integrat</w:t>
      </w:r>
      <w:r w:rsidR="00EF49B7" w:rsidRPr="00856BE3">
        <w:rPr>
          <w:sz w:val="24"/>
          <w:szCs w:val="24"/>
        </w:rPr>
        <w:t>e</w:t>
      </w:r>
      <w:r w:rsidR="006F28A7" w:rsidRPr="00856BE3">
        <w:rPr>
          <w:sz w:val="24"/>
          <w:szCs w:val="24"/>
        </w:rPr>
        <w:t xml:space="preserve"> and jointly analys</w:t>
      </w:r>
      <w:r w:rsidR="00EF49B7" w:rsidRPr="00856BE3">
        <w:rPr>
          <w:sz w:val="24"/>
          <w:szCs w:val="24"/>
        </w:rPr>
        <w:t>e</w:t>
      </w:r>
      <w:r w:rsidR="006F28A7" w:rsidRPr="00856BE3">
        <w:rPr>
          <w:sz w:val="24"/>
          <w:szCs w:val="24"/>
        </w:rPr>
        <w:t xml:space="preserve"> models</w:t>
      </w:r>
      <w:r w:rsidR="00EF49B7" w:rsidRPr="00856BE3">
        <w:rPr>
          <w:sz w:val="24"/>
          <w:szCs w:val="24"/>
        </w:rPr>
        <w:t xml:space="preserve"> used in the literature</w:t>
      </w:r>
      <w:r w:rsidR="00911E58" w:rsidRPr="00856BE3">
        <w:rPr>
          <w:sz w:val="24"/>
          <w:szCs w:val="24"/>
        </w:rPr>
        <w:t>.</w:t>
      </w:r>
      <w:r w:rsidR="001A10C1" w:rsidRPr="00856BE3">
        <w:rPr>
          <w:sz w:val="24"/>
          <w:szCs w:val="24"/>
        </w:rPr>
        <w:t xml:space="preserve"> </w:t>
      </w:r>
      <w:r w:rsidR="00866B95">
        <w:br/>
      </w:r>
    </w:p>
    <w:p w14:paraId="2CB94443" w14:textId="77777777" w:rsidR="00866B95" w:rsidRDefault="00866B95" w:rsidP="00856BE3">
      <w:pPr>
        <w:pStyle w:val="Heading1"/>
        <w:spacing w:line="480" w:lineRule="auto"/>
      </w:pPr>
      <w:r>
        <w:t>Research Questions</w:t>
      </w:r>
    </w:p>
    <w:p w14:paraId="4F09E6CC" w14:textId="0C5B5E5D" w:rsidR="008D0C32" w:rsidRPr="00856BE3" w:rsidRDefault="008D0C32" w:rsidP="00856BE3">
      <w:pPr>
        <w:pStyle w:val="ListParagraph"/>
        <w:numPr>
          <w:ilvl w:val="0"/>
          <w:numId w:val="1"/>
        </w:numPr>
        <w:spacing w:line="480" w:lineRule="auto"/>
        <w:rPr>
          <w:sz w:val="24"/>
          <w:szCs w:val="24"/>
        </w:rPr>
      </w:pPr>
      <w:r w:rsidRPr="00856BE3">
        <w:rPr>
          <w:sz w:val="24"/>
          <w:szCs w:val="24"/>
        </w:rPr>
        <w:t>What mode</w:t>
      </w:r>
      <w:r w:rsidR="003A7B2C">
        <w:rPr>
          <w:sz w:val="24"/>
          <w:szCs w:val="24"/>
        </w:rPr>
        <w:t>l</w:t>
      </w:r>
      <w:r w:rsidR="00EF3121" w:rsidRPr="00856BE3">
        <w:rPr>
          <w:sz w:val="24"/>
          <w:szCs w:val="24"/>
        </w:rPr>
        <w:t xml:space="preserve"> </w:t>
      </w:r>
      <w:r w:rsidRPr="00856BE3">
        <w:rPr>
          <w:sz w:val="24"/>
          <w:szCs w:val="24"/>
        </w:rPr>
        <w:t>is appropriate to quantify the influence of farmers</w:t>
      </w:r>
      <w:r w:rsidR="005771CE" w:rsidRPr="00856BE3">
        <w:rPr>
          <w:sz w:val="24"/>
          <w:szCs w:val="24"/>
        </w:rPr>
        <w:t>’</w:t>
      </w:r>
      <w:r w:rsidRPr="00856BE3">
        <w:rPr>
          <w:sz w:val="24"/>
          <w:szCs w:val="24"/>
        </w:rPr>
        <w:t xml:space="preserve"> social network on </w:t>
      </w:r>
      <w:r w:rsidR="00C042C8">
        <w:rPr>
          <w:sz w:val="24"/>
          <w:szCs w:val="24"/>
        </w:rPr>
        <w:t xml:space="preserve">farmers’ knowledge </w:t>
      </w:r>
      <w:r w:rsidR="003110C0" w:rsidRPr="00856BE3">
        <w:rPr>
          <w:sz w:val="24"/>
          <w:szCs w:val="24"/>
        </w:rPr>
        <w:t>or adopt</w:t>
      </w:r>
      <w:r w:rsidR="00C042C8">
        <w:rPr>
          <w:sz w:val="24"/>
          <w:szCs w:val="24"/>
        </w:rPr>
        <w:t>ion of</w:t>
      </w:r>
      <w:r w:rsidR="003110C0" w:rsidRPr="00856BE3">
        <w:rPr>
          <w:sz w:val="24"/>
          <w:szCs w:val="24"/>
        </w:rPr>
        <w:t xml:space="preserve"> a technology</w:t>
      </w:r>
      <w:r w:rsidR="00EF3121" w:rsidRPr="00856BE3">
        <w:rPr>
          <w:sz w:val="24"/>
          <w:szCs w:val="24"/>
        </w:rPr>
        <w:t xml:space="preserve"> </w:t>
      </w:r>
      <w:r w:rsidR="005771CE" w:rsidRPr="00856BE3">
        <w:rPr>
          <w:sz w:val="24"/>
          <w:szCs w:val="24"/>
        </w:rPr>
        <w:t>in the context of developing</w:t>
      </w:r>
      <w:r w:rsidR="00C042C8">
        <w:rPr>
          <w:sz w:val="24"/>
          <w:szCs w:val="24"/>
        </w:rPr>
        <w:t>-</w:t>
      </w:r>
      <w:r w:rsidR="005771CE" w:rsidRPr="00856BE3">
        <w:rPr>
          <w:sz w:val="24"/>
          <w:szCs w:val="24"/>
        </w:rPr>
        <w:t xml:space="preserve">country dairy systems. </w:t>
      </w:r>
      <w:r w:rsidR="003110C0" w:rsidRPr="00856BE3">
        <w:rPr>
          <w:sz w:val="24"/>
          <w:szCs w:val="24"/>
        </w:rPr>
        <w:t xml:space="preserve"> </w:t>
      </w:r>
    </w:p>
    <w:p w14:paraId="5A7C8A04" w14:textId="37262FF0" w:rsidR="00866B95" w:rsidRPr="00856BE3" w:rsidRDefault="00866B95" w:rsidP="00856BE3">
      <w:pPr>
        <w:pStyle w:val="ListParagraph"/>
        <w:numPr>
          <w:ilvl w:val="0"/>
          <w:numId w:val="1"/>
        </w:numPr>
        <w:spacing w:line="480" w:lineRule="auto"/>
        <w:rPr>
          <w:sz w:val="24"/>
          <w:szCs w:val="24"/>
        </w:rPr>
      </w:pPr>
      <w:r w:rsidRPr="00856BE3">
        <w:rPr>
          <w:sz w:val="24"/>
          <w:szCs w:val="24"/>
        </w:rPr>
        <w:t>What is the impact of private, public, open-access extension</w:t>
      </w:r>
      <w:r w:rsidR="005C5A3D" w:rsidRPr="00856BE3">
        <w:rPr>
          <w:sz w:val="24"/>
          <w:szCs w:val="24"/>
        </w:rPr>
        <w:t>, as well as farmer</w:t>
      </w:r>
      <w:r w:rsidR="00E566ED" w:rsidRPr="00856BE3">
        <w:rPr>
          <w:sz w:val="24"/>
          <w:szCs w:val="24"/>
        </w:rPr>
        <w:t>s’</w:t>
      </w:r>
      <w:r w:rsidR="005C5A3D" w:rsidRPr="00856BE3">
        <w:rPr>
          <w:sz w:val="24"/>
          <w:szCs w:val="24"/>
        </w:rPr>
        <w:t xml:space="preserve"> </w:t>
      </w:r>
      <w:r w:rsidR="00E566ED" w:rsidRPr="00856BE3">
        <w:rPr>
          <w:sz w:val="24"/>
          <w:szCs w:val="24"/>
        </w:rPr>
        <w:t>social network</w:t>
      </w:r>
      <w:r w:rsidRPr="00856BE3">
        <w:rPr>
          <w:sz w:val="24"/>
          <w:szCs w:val="24"/>
        </w:rPr>
        <w:t xml:space="preserve"> on:</w:t>
      </w:r>
    </w:p>
    <w:p w14:paraId="76C7A6D3" w14:textId="74EB5ADD" w:rsidR="00866B95" w:rsidRPr="00856BE3" w:rsidRDefault="00092850" w:rsidP="00856BE3">
      <w:pPr>
        <w:pStyle w:val="ListParagraph"/>
        <w:numPr>
          <w:ilvl w:val="1"/>
          <w:numId w:val="1"/>
        </w:numPr>
        <w:spacing w:line="480" w:lineRule="auto"/>
        <w:rPr>
          <w:sz w:val="24"/>
          <w:szCs w:val="24"/>
        </w:rPr>
      </w:pPr>
      <w:r w:rsidRPr="00856BE3">
        <w:rPr>
          <w:sz w:val="24"/>
          <w:szCs w:val="24"/>
        </w:rPr>
        <w:t>K</w:t>
      </w:r>
      <w:r w:rsidR="00866B95" w:rsidRPr="00856BE3">
        <w:rPr>
          <w:sz w:val="24"/>
          <w:szCs w:val="24"/>
        </w:rPr>
        <w:t>nowledge o</w:t>
      </w:r>
      <w:r w:rsidR="009D326B" w:rsidRPr="00856BE3">
        <w:rPr>
          <w:sz w:val="24"/>
          <w:szCs w:val="24"/>
        </w:rPr>
        <w:t>f</w:t>
      </w:r>
      <w:r w:rsidR="00866B95" w:rsidRPr="00856BE3">
        <w:rPr>
          <w:sz w:val="24"/>
          <w:szCs w:val="24"/>
        </w:rPr>
        <w:t xml:space="preserve"> technology</w:t>
      </w:r>
    </w:p>
    <w:p w14:paraId="6457D1A7" w14:textId="3959A003" w:rsidR="00866B95" w:rsidRPr="00856BE3" w:rsidRDefault="00092850" w:rsidP="00856BE3">
      <w:pPr>
        <w:pStyle w:val="ListParagraph"/>
        <w:numPr>
          <w:ilvl w:val="1"/>
          <w:numId w:val="1"/>
        </w:numPr>
        <w:spacing w:line="480" w:lineRule="auto"/>
        <w:rPr>
          <w:sz w:val="24"/>
          <w:szCs w:val="24"/>
        </w:rPr>
      </w:pPr>
      <w:r w:rsidRPr="00856BE3">
        <w:rPr>
          <w:sz w:val="24"/>
          <w:szCs w:val="24"/>
        </w:rPr>
        <w:t>T</w:t>
      </w:r>
      <w:r w:rsidR="00866B95" w:rsidRPr="00856BE3">
        <w:rPr>
          <w:sz w:val="24"/>
          <w:szCs w:val="24"/>
        </w:rPr>
        <w:t xml:space="preserve">echnology </w:t>
      </w:r>
      <w:r w:rsidRPr="00856BE3">
        <w:rPr>
          <w:sz w:val="24"/>
          <w:szCs w:val="24"/>
        </w:rPr>
        <w:t>uptake</w:t>
      </w:r>
    </w:p>
    <w:p w14:paraId="1812EE2E" w14:textId="7001692B" w:rsidR="00866B95" w:rsidRPr="00856BE3" w:rsidRDefault="00866B95" w:rsidP="00856BE3">
      <w:pPr>
        <w:pStyle w:val="ListParagraph"/>
        <w:numPr>
          <w:ilvl w:val="0"/>
          <w:numId w:val="1"/>
        </w:numPr>
        <w:spacing w:line="480" w:lineRule="auto"/>
        <w:rPr>
          <w:sz w:val="24"/>
          <w:szCs w:val="24"/>
        </w:rPr>
      </w:pPr>
      <w:r w:rsidRPr="00856BE3">
        <w:rPr>
          <w:sz w:val="24"/>
          <w:szCs w:val="24"/>
        </w:rPr>
        <w:t xml:space="preserve">How does </w:t>
      </w:r>
      <w:r w:rsidR="00186A2F" w:rsidRPr="00856BE3">
        <w:rPr>
          <w:sz w:val="24"/>
          <w:szCs w:val="24"/>
        </w:rPr>
        <w:t>2</w:t>
      </w:r>
      <w:r w:rsidRPr="00856BE3">
        <w:rPr>
          <w:sz w:val="24"/>
          <w:szCs w:val="24"/>
        </w:rPr>
        <w:t xml:space="preserve"> vary with</w:t>
      </w:r>
      <w:r w:rsidR="000027AA" w:rsidRPr="00856BE3">
        <w:rPr>
          <w:sz w:val="24"/>
          <w:szCs w:val="24"/>
        </w:rPr>
        <w:t>:</w:t>
      </w:r>
    </w:p>
    <w:p w14:paraId="29480D84" w14:textId="141AB5FA" w:rsidR="00866B95" w:rsidRPr="00856BE3" w:rsidRDefault="00866B95" w:rsidP="00856BE3">
      <w:pPr>
        <w:pStyle w:val="ListParagraph"/>
        <w:numPr>
          <w:ilvl w:val="1"/>
          <w:numId w:val="1"/>
        </w:numPr>
        <w:spacing w:line="480" w:lineRule="auto"/>
        <w:rPr>
          <w:sz w:val="24"/>
          <w:szCs w:val="24"/>
        </w:rPr>
      </w:pPr>
      <w:r w:rsidRPr="00856BE3">
        <w:rPr>
          <w:sz w:val="24"/>
          <w:szCs w:val="24"/>
        </w:rPr>
        <w:t xml:space="preserve">Farmer </w:t>
      </w:r>
      <w:r w:rsidR="00F17494" w:rsidRPr="00856BE3">
        <w:rPr>
          <w:sz w:val="24"/>
          <w:szCs w:val="24"/>
        </w:rPr>
        <w:t>traits, including</w:t>
      </w:r>
      <w:r w:rsidR="00AB22CF">
        <w:rPr>
          <w:sz w:val="24"/>
          <w:szCs w:val="24"/>
        </w:rPr>
        <w:t xml:space="preserve"> education and</w:t>
      </w:r>
      <w:r w:rsidR="00F17494" w:rsidRPr="00856BE3">
        <w:rPr>
          <w:sz w:val="24"/>
          <w:szCs w:val="24"/>
        </w:rPr>
        <w:t xml:space="preserve"> social capital</w:t>
      </w:r>
      <w:r w:rsidRPr="00856BE3">
        <w:rPr>
          <w:sz w:val="24"/>
          <w:szCs w:val="24"/>
        </w:rPr>
        <w:t xml:space="preserve"> </w:t>
      </w:r>
    </w:p>
    <w:p w14:paraId="1737678C" w14:textId="066420A1" w:rsidR="00866B95" w:rsidRPr="00856BE3" w:rsidRDefault="00866B95" w:rsidP="00856BE3">
      <w:pPr>
        <w:pStyle w:val="ListParagraph"/>
        <w:numPr>
          <w:ilvl w:val="1"/>
          <w:numId w:val="1"/>
        </w:numPr>
        <w:spacing w:line="480" w:lineRule="auto"/>
        <w:rPr>
          <w:sz w:val="24"/>
          <w:szCs w:val="24"/>
        </w:rPr>
      </w:pPr>
      <w:r w:rsidRPr="00856BE3">
        <w:rPr>
          <w:sz w:val="24"/>
          <w:szCs w:val="24"/>
        </w:rPr>
        <w:lastRenderedPageBreak/>
        <w:t>Household characteristics</w:t>
      </w:r>
      <w:r w:rsidR="00AB22CF">
        <w:rPr>
          <w:sz w:val="24"/>
          <w:szCs w:val="24"/>
        </w:rPr>
        <w:t>, including market-orientation</w:t>
      </w:r>
    </w:p>
    <w:p w14:paraId="438C30B6" w14:textId="584C1D6F" w:rsidR="00866B95" w:rsidRPr="00856BE3" w:rsidRDefault="00866B95" w:rsidP="00856BE3">
      <w:pPr>
        <w:pStyle w:val="ListParagraph"/>
        <w:numPr>
          <w:ilvl w:val="0"/>
          <w:numId w:val="1"/>
        </w:numPr>
        <w:spacing w:line="480" w:lineRule="auto"/>
        <w:rPr>
          <w:sz w:val="24"/>
          <w:szCs w:val="24"/>
        </w:rPr>
      </w:pPr>
      <w:r w:rsidRPr="00856BE3">
        <w:rPr>
          <w:sz w:val="24"/>
          <w:szCs w:val="24"/>
        </w:rPr>
        <w:t xml:space="preserve">What is the impact of the interaction of </w:t>
      </w:r>
      <w:r w:rsidR="001300E9" w:rsidRPr="00856BE3">
        <w:rPr>
          <w:sz w:val="24"/>
          <w:szCs w:val="24"/>
        </w:rPr>
        <w:t>different forms of</w:t>
      </w:r>
      <w:r w:rsidRPr="00856BE3">
        <w:rPr>
          <w:sz w:val="24"/>
          <w:szCs w:val="24"/>
        </w:rPr>
        <w:t xml:space="preserve"> extension </w:t>
      </w:r>
      <w:r w:rsidR="00186A2F" w:rsidRPr="00856BE3">
        <w:rPr>
          <w:sz w:val="24"/>
          <w:szCs w:val="24"/>
        </w:rPr>
        <w:t xml:space="preserve">and social network </w:t>
      </w:r>
      <w:r w:rsidRPr="00856BE3">
        <w:rPr>
          <w:sz w:val="24"/>
          <w:szCs w:val="24"/>
        </w:rPr>
        <w:t>on</w:t>
      </w:r>
      <w:r w:rsidR="00186A2F" w:rsidRPr="00856BE3">
        <w:rPr>
          <w:sz w:val="24"/>
          <w:szCs w:val="24"/>
        </w:rPr>
        <w:t>:</w:t>
      </w:r>
    </w:p>
    <w:p w14:paraId="7435A190" w14:textId="3092CB00" w:rsidR="00866B95" w:rsidRPr="00856BE3" w:rsidRDefault="00092850" w:rsidP="00856BE3">
      <w:pPr>
        <w:pStyle w:val="ListParagraph"/>
        <w:numPr>
          <w:ilvl w:val="1"/>
          <w:numId w:val="1"/>
        </w:numPr>
        <w:spacing w:line="480" w:lineRule="auto"/>
        <w:rPr>
          <w:sz w:val="24"/>
          <w:szCs w:val="24"/>
        </w:rPr>
      </w:pPr>
      <w:r w:rsidRPr="00856BE3">
        <w:rPr>
          <w:sz w:val="24"/>
          <w:szCs w:val="24"/>
        </w:rPr>
        <w:t>K</w:t>
      </w:r>
      <w:r w:rsidR="00866B95" w:rsidRPr="00856BE3">
        <w:rPr>
          <w:sz w:val="24"/>
          <w:szCs w:val="24"/>
        </w:rPr>
        <w:t xml:space="preserve">nowledge </w:t>
      </w:r>
      <w:r w:rsidRPr="00856BE3">
        <w:rPr>
          <w:sz w:val="24"/>
          <w:szCs w:val="24"/>
        </w:rPr>
        <w:t>of technology</w:t>
      </w:r>
    </w:p>
    <w:p w14:paraId="4883FD49" w14:textId="77777777" w:rsidR="00866B95" w:rsidRPr="00856BE3" w:rsidRDefault="00866B95" w:rsidP="00856BE3">
      <w:pPr>
        <w:pStyle w:val="ListParagraph"/>
        <w:numPr>
          <w:ilvl w:val="1"/>
          <w:numId w:val="1"/>
        </w:numPr>
        <w:spacing w:line="480" w:lineRule="auto"/>
        <w:rPr>
          <w:sz w:val="24"/>
          <w:szCs w:val="24"/>
        </w:rPr>
      </w:pPr>
      <w:r w:rsidRPr="00856BE3">
        <w:rPr>
          <w:sz w:val="24"/>
          <w:szCs w:val="24"/>
        </w:rPr>
        <w:t>Technology uptake</w:t>
      </w:r>
    </w:p>
    <w:p w14:paraId="0A98A99F" w14:textId="77777777" w:rsidR="00866B95" w:rsidRDefault="00866B95" w:rsidP="00856BE3">
      <w:pPr>
        <w:pStyle w:val="Heading1"/>
        <w:spacing w:line="480" w:lineRule="auto"/>
      </w:pPr>
      <w:r>
        <w:t xml:space="preserve">Objectives </w:t>
      </w:r>
    </w:p>
    <w:p w14:paraId="61BE3717" w14:textId="4A090690" w:rsidR="004E195F" w:rsidRPr="00856BE3" w:rsidRDefault="004E195F" w:rsidP="00856BE3">
      <w:pPr>
        <w:spacing w:line="480" w:lineRule="auto"/>
        <w:rPr>
          <w:sz w:val="24"/>
          <w:szCs w:val="24"/>
        </w:rPr>
      </w:pPr>
      <w:r w:rsidRPr="00856BE3">
        <w:rPr>
          <w:sz w:val="24"/>
          <w:szCs w:val="24"/>
        </w:rPr>
        <w:t xml:space="preserve">To determine a model to capture </w:t>
      </w:r>
      <w:r w:rsidR="009B15D2" w:rsidRPr="00856BE3">
        <w:rPr>
          <w:sz w:val="24"/>
          <w:szCs w:val="24"/>
        </w:rPr>
        <w:t>the how</w:t>
      </w:r>
      <w:r w:rsidR="004712B3" w:rsidRPr="00856BE3">
        <w:rPr>
          <w:sz w:val="24"/>
          <w:szCs w:val="24"/>
        </w:rPr>
        <w:t xml:space="preserve"> a farmer’s network influence</w:t>
      </w:r>
      <w:r w:rsidR="005766B0">
        <w:rPr>
          <w:sz w:val="24"/>
          <w:szCs w:val="24"/>
        </w:rPr>
        <w:t>s</w:t>
      </w:r>
      <w:r w:rsidR="004712B3" w:rsidRPr="00856BE3">
        <w:rPr>
          <w:sz w:val="24"/>
          <w:szCs w:val="24"/>
        </w:rPr>
        <w:t xml:space="preserve"> that farmer’s likelihood to know about or adopt a technology, based on</w:t>
      </w:r>
      <w:r w:rsidR="009B15D2" w:rsidRPr="00856BE3">
        <w:rPr>
          <w:sz w:val="24"/>
          <w:szCs w:val="24"/>
        </w:rPr>
        <w:t xml:space="preserve"> existing</w:t>
      </w:r>
      <w:r w:rsidR="004712B3" w:rsidRPr="00856BE3">
        <w:rPr>
          <w:sz w:val="24"/>
          <w:szCs w:val="24"/>
        </w:rPr>
        <w:t xml:space="preserve"> model</w:t>
      </w:r>
      <w:r w:rsidR="003A7B2C">
        <w:rPr>
          <w:sz w:val="24"/>
          <w:szCs w:val="24"/>
        </w:rPr>
        <w:t>s</w:t>
      </w:r>
      <w:r w:rsidR="00FD0CDF">
        <w:rPr>
          <w:rStyle w:val="FootnoteReference"/>
          <w:sz w:val="24"/>
          <w:szCs w:val="24"/>
        </w:rPr>
        <w:footnoteReference w:id="6"/>
      </w:r>
      <w:r w:rsidR="003A7B2C">
        <w:rPr>
          <w:sz w:val="24"/>
          <w:szCs w:val="24"/>
        </w:rPr>
        <w:t>.</w:t>
      </w:r>
      <w:r w:rsidR="004712B3" w:rsidRPr="00856BE3">
        <w:rPr>
          <w:sz w:val="24"/>
          <w:szCs w:val="24"/>
        </w:rPr>
        <w:t xml:space="preserve"> </w:t>
      </w:r>
    </w:p>
    <w:p w14:paraId="5C638303" w14:textId="2D41D0CE" w:rsidR="001300E9" w:rsidRPr="00856BE3" w:rsidRDefault="001300E9" w:rsidP="00856BE3">
      <w:pPr>
        <w:spacing w:line="480" w:lineRule="auto"/>
        <w:rPr>
          <w:sz w:val="24"/>
          <w:szCs w:val="24"/>
        </w:rPr>
      </w:pPr>
      <w:r w:rsidRPr="00856BE3">
        <w:rPr>
          <w:sz w:val="24"/>
          <w:szCs w:val="24"/>
        </w:rPr>
        <w:t xml:space="preserve">To identify </w:t>
      </w:r>
      <w:r w:rsidR="00584FC5" w:rsidRPr="00856BE3">
        <w:rPr>
          <w:sz w:val="24"/>
          <w:szCs w:val="24"/>
        </w:rPr>
        <w:t>how the impact of different forms of extension</w:t>
      </w:r>
      <w:r w:rsidR="004F6B89" w:rsidRPr="00856BE3">
        <w:rPr>
          <w:sz w:val="24"/>
          <w:szCs w:val="24"/>
        </w:rPr>
        <w:t xml:space="preserve"> and social networks </w:t>
      </w:r>
      <w:r w:rsidR="004E195F" w:rsidRPr="00856BE3">
        <w:rPr>
          <w:sz w:val="24"/>
          <w:szCs w:val="24"/>
        </w:rPr>
        <w:t>on knowledge</w:t>
      </w:r>
      <w:r w:rsidR="00462734" w:rsidRPr="00856BE3">
        <w:rPr>
          <w:sz w:val="24"/>
          <w:szCs w:val="24"/>
        </w:rPr>
        <w:t>/</w:t>
      </w:r>
      <w:r w:rsidR="004E195F" w:rsidRPr="00856BE3">
        <w:rPr>
          <w:sz w:val="24"/>
          <w:szCs w:val="24"/>
        </w:rPr>
        <w:t>uptake of technology</w:t>
      </w:r>
      <w:r w:rsidR="00462734" w:rsidRPr="00856BE3">
        <w:rPr>
          <w:sz w:val="24"/>
          <w:szCs w:val="24"/>
        </w:rPr>
        <w:t xml:space="preserve"> </w:t>
      </w:r>
      <w:r w:rsidR="00584FC5" w:rsidRPr="00856BE3">
        <w:rPr>
          <w:sz w:val="24"/>
          <w:szCs w:val="24"/>
        </w:rPr>
        <w:t>var</w:t>
      </w:r>
      <w:r w:rsidR="004E195F" w:rsidRPr="00856BE3">
        <w:rPr>
          <w:sz w:val="24"/>
          <w:szCs w:val="24"/>
        </w:rPr>
        <w:t>ies</w:t>
      </w:r>
      <w:r w:rsidR="00584FC5" w:rsidRPr="00856BE3">
        <w:rPr>
          <w:sz w:val="24"/>
          <w:szCs w:val="24"/>
        </w:rPr>
        <w:t xml:space="preserve"> with farmer, household, and network traits</w:t>
      </w:r>
      <w:r w:rsidR="004E195F" w:rsidRPr="00856BE3">
        <w:rPr>
          <w:sz w:val="24"/>
          <w:szCs w:val="24"/>
        </w:rPr>
        <w:t>.</w:t>
      </w:r>
    </w:p>
    <w:p w14:paraId="18023FF0" w14:textId="5E6FEB59" w:rsidR="00774968" w:rsidRPr="00856BE3" w:rsidRDefault="00774968" w:rsidP="00856BE3">
      <w:pPr>
        <w:spacing w:line="480" w:lineRule="auto"/>
        <w:rPr>
          <w:sz w:val="24"/>
          <w:szCs w:val="24"/>
        </w:rPr>
      </w:pPr>
      <w:r w:rsidRPr="00856BE3">
        <w:rPr>
          <w:sz w:val="24"/>
          <w:szCs w:val="24"/>
        </w:rPr>
        <w:t xml:space="preserve">To evaluate </w:t>
      </w:r>
      <w:r w:rsidR="00EB1776" w:rsidRPr="00856BE3">
        <w:rPr>
          <w:sz w:val="24"/>
          <w:szCs w:val="24"/>
        </w:rPr>
        <w:t xml:space="preserve">how the </w:t>
      </w:r>
      <w:r w:rsidR="00E670D0" w:rsidRPr="00856BE3">
        <w:rPr>
          <w:sz w:val="24"/>
          <w:szCs w:val="24"/>
        </w:rPr>
        <w:t xml:space="preserve">interaction </w:t>
      </w:r>
      <w:r w:rsidR="00B23BC9" w:rsidRPr="00856BE3">
        <w:rPr>
          <w:sz w:val="24"/>
          <w:szCs w:val="24"/>
        </w:rPr>
        <w:t>of different forms of extension</w:t>
      </w:r>
      <w:r w:rsidR="008856BB" w:rsidRPr="00856BE3">
        <w:rPr>
          <w:sz w:val="24"/>
          <w:szCs w:val="24"/>
        </w:rPr>
        <w:t xml:space="preserve"> and network effects</w:t>
      </w:r>
      <w:r w:rsidR="00B23BC9" w:rsidRPr="00856BE3">
        <w:rPr>
          <w:sz w:val="24"/>
          <w:szCs w:val="24"/>
        </w:rPr>
        <w:t xml:space="preserve"> </w:t>
      </w:r>
      <w:r w:rsidR="00EB1776" w:rsidRPr="00856BE3">
        <w:rPr>
          <w:sz w:val="24"/>
          <w:szCs w:val="24"/>
        </w:rPr>
        <w:t>affect technology knowledge</w:t>
      </w:r>
      <w:r w:rsidR="00D3762A" w:rsidRPr="00856BE3">
        <w:rPr>
          <w:sz w:val="24"/>
          <w:szCs w:val="24"/>
        </w:rPr>
        <w:t>/</w:t>
      </w:r>
      <w:r w:rsidR="00EB1776" w:rsidRPr="00856BE3">
        <w:rPr>
          <w:sz w:val="24"/>
          <w:szCs w:val="24"/>
        </w:rPr>
        <w:t xml:space="preserve">uptake. </w:t>
      </w:r>
      <w:r w:rsidR="00B23BC9" w:rsidRPr="00856BE3">
        <w:rPr>
          <w:sz w:val="24"/>
          <w:szCs w:val="24"/>
        </w:rPr>
        <w:t xml:space="preserve"> </w:t>
      </w:r>
    </w:p>
    <w:p w14:paraId="6ABC4458" w14:textId="25A15C77" w:rsidR="001B03BA" w:rsidRPr="00856BE3" w:rsidRDefault="001B03BA" w:rsidP="00856BE3">
      <w:pPr>
        <w:spacing w:line="480" w:lineRule="auto"/>
        <w:rPr>
          <w:sz w:val="24"/>
          <w:szCs w:val="24"/>
        </w:rPr>
      </w:pPr>
      <w:r w:rsidRPr="00856BE3">
        <w:rPr>
          <w:sz w:val="24"/>
          <w:szCs w:val="24"/>
        </w:rPr>
        <w:t>To identify traits linked with farmers being less likely to bene</w:t>
      </w:r>
      <w:r w:rsidR="004E3BD4" w:rsidRPr="00856BE3">
        <w:rPr>
          <w:sz w:val="24"/>
          <w:szCs w:val="24"/>
        </w:rPr>
        <w:t xml:space="preserve">fit from </w:t>
      </w:r>
      <w:r w:rsidR="00C43A84" w:rsidRPr="00856BE3">
        <w:rPr>
          <w:sz w:val="24"/>
          <w:szCs w:val="24"/>
        </w:rPr>
        <w:t>diffusion through networks</w:t>
      </w:r>
      <w:r w:rsidR="004E3BD4" w:rsidRPr="00856BE3">
        <w:rPr>
          <w:sz w:val="24"/>
          <w:szCs w:val="24"/>
        </w:rPr>
        <w:t>.</w:t>
      </w:r>
    </w:p>
    <w:p w14:paraId="6A51AA43" w14:textId="70CA97D1" w:rsidR="00EC2589" w:rsidRPr="00856BE3" w:rsidRDefault="003F1979" w:rsidP="00FD1941">
      <w:pPr>
        <w:spacing w:line="480" w:lineRule="auto"/>
        <w:rPr>
          <w:sz w:val="24"/>
          <w:szCs w:val="24"/>
        </w:rPr>
      </w:pPr>
      <w:r w:rsidRPr="00856BE3">
        <w:rPr>
          <w:sz w:val="24"/>
          <w:szCs w:val="24"/>
        </w:rPr>
        <w:t xml:space="preserve">Based on findings, to </w:t>
      </w:r>
      <w:r w:rsidR="00E35C36" w:rsidRPr="00856BE3">
        <w:rPr>
          <w:sz w:val="24"/>
          <w:szCs w:val="24"/>
        </w:rPr>
        <w:t xml:space="preserve">establish who can benefit most from a given form of extension, </w:t>
      </w:r>
      <w:r w:rsidR="005B69F7">
        <w:rPr>
          <w:sz w:val="24"/>
          <w:szCs w:val="24"/>
        </w:rPr>
        <w:t xml:space="preserve">who </w:t>
      </w:r>
      <w:r w:rsidR="00E35C36" w:rsidRPr="00856BE3">
        <w:rPr>
          <w:sz w:val="24"/>
          <w:szCs w:val="24"/>
        </w:rPr>
        <w:t xml:space="preserve">is most </w:t>
      </w:r>
      <w:r w:rsidR="004149E4">
        <w:rPr>
          <w:sz w:val="24"/>
          <w:szCs w:val="24"/>
        </w:rPr>
        <w:t>dependent on</w:t>
      </w:r>
      <w:r w:rsidR="00420043" w:rsidRPr="00856BE3">
        <w:rPr>
          <w:sz w:val="24"/>
          <w:szCs w:val="24"/>
        </w:rPr>
        <w:t xml:space="preserve"> extension, and how to target extension resources </w:t>
      </w:r>
      <w:r w:rsidR="00C64C4B">
        <w:rPr>
          <w:sz w:val="24"/>
          <w:szCs w:val="24"/>
        </w:rPr>
        <w:t xml:space="preserve">and systems </w:t>
      </w:r>
      <w:r w:rsidR="00420043" w:rsidRPr="00856BE3">
        <w:rPr>
          <w:sz w:val="24"/>
          <w:szCs w:val="24"/>
        </w:rPr>
        <w:t>throughout a network to</w:t>
      </w:r>
      <w:r w:rsidR="00A6744B" w:rsidRPr="00856BE3">
        <w:rPr>
          <w:sz w:val="24"/>
          <w:szCs w:val="24"/>
        </w:rPr>
        <w:t xml:space="preserve"> maximise</w:t>
      </w:r>
      <w:r w:rsidR="004149E4">
        <w:rPr>
          <w:sz w:val="24"/>
          <w:szCs w:val="24"/>
        </w:rPr>
        <w:t xml:space="preserve"> overall</w:t>
      </w:r>
      <w:r w:rsidR="00A6744B" w:rsidRPr="00856BE3">
        <w:rPr>
          <w:sz w:val="24"/>
          <w:szCs w:val="24"/>
        </w:rPr>
        <w:t xml:space="preserve"> impact. These findings can be directly applied</w:t>
      </w:r>
      <w:r w:rsidR="00C64C4B">
        <w:rPr>
          <w:rStyle w:val="FootnoteReference"/>
          <w:sz w:val="24"/>
          <w:szCs w:val="24"/>
        </w:rPr>
        <w:footnoteReference w:id="7"/>
      </w:r>
      <w:r w:rsidR="00A6744B" w:rsidRPr="00856BE3">
        <w:rPr>
          <w:sz w:val="24"/>
          <w:szCs w:val="24"/>
        </w:rPr>
        <w:t xml:space="preserve"> </w:t>
      </w:r>
      <w:r w:rsidR="00D90843" w:rsidRPr="00856BE3">
        <w:rPr>
          <w:sz w:val="24"/>
          <w:szCs w:val="24"/>
        </w:rPr>
        <w:t xml:space="preserve">in-field </w:t>
      </w:r>
      <w:r w:rsidR="00A6744B" w:rsidRPr="00856BE3">
        <w:rPr>
          <w:sz w:val="24"/>
          <w:szCs w:val="24"/>
        </w:rPr>
        <w:t>by</w:t>
      </w:r>
      <w:r w:rsidR="00D90843" w:rsidRPr="00856BE3">
        <w:rPr>
          <w:sz w:val="24"/>
          <w:szCs w:val="24"/>
        </w:rPr>
        <w:t xml:space="preserve"> development organisations</w:t>
      </w:r>
      <w:r w:rsidR="00642DFA">
        <w:rPr>
          <w:sz w:val="24"/>
          <w:szCs w:val="24"/>
        </w:rPr>
        <w:t xml:space="preserve"> </w:t>
      </w:r>
      <w:r w:rsidR="004149E4">
        <w:rPr>
          <w:sz w:val="24"/>
          <w:szCs w:val="24"/>
        </w:rPr>
        <w:t xml:space="preserve">or governments/government </w:t>
      </w:r>
      <w:r w:rsidR="004149E4">
        <w:rPr>
          <w:sz w:val="24"/>
          <w:szCs w:val="24"/>
        </w:rPr>
        <w:lastRenderedPageBreak/>
        <w:t xml:space="preserve">entities </w:t>
      </w:r>
      <w:r w:rsidR="00642DFA">
        <w:rPr>
          <w:sz w:val="24"/>
          <w:szCs w:val="24"/>
        </w:rPr>
        <w:t xml:space="preserve">to maximise </w:t>
      </w:r>
      <w:r w:rsidR="006A62AC">
        <w:rPr>
          <w:sz w:val="24"/>
          <w:szCs w:val="24"/>
        </w:rPr>
        <w:t xml:space="preserve">the </w:t>
      </w:r>
      <w:r w:rsidR="00642DFA">
        <w:rPr>
          <w:sz w:val="24"/>
          <w:szCs w:val="24"/>
        </w:rPr>
        <w:t>effectiveness, efficiency</w:t>
      </w:r>
      <w:r w:rsidR="00F540B9">
        <w:rPr>
          <w:sz w:val="24"/>
          <w:szCs w:val="24"/>
        </w:rPr>
        <w:t>,</w:t>
      </w:r>
      <w:r w:rsidR="00642DFA">
        <w:rPr>
          <w:sz w:val="24"/>
          <w:szCs w:val="24"/>
        </w:rPr>
        <w:t xml:space="preserve"> and equity</w:t>
      </w:r>
      <w:r w:rsidR="006A62AC">
        <w:rPr>
          <w:sz w:val="24"/>
          <w:szCs w:val="24"/>
        </w:rPr>
        <w:t xml:space="preserve"> of their work</w:t>
      </w:r>
      <w:r w:rsidR="00D90843" w:rsidRPr="00856BE3">
        <w:rPr>
          <w:sz w:val="24"/>
          <w:szCs w:val="24"/>
        </w:rPr>
        <w:t xml:space="preserve">, </w:t>
      </w:r>
      <w:r w:rsidR="00D65F52" w:rsidRPr="00856BE3">
        <w:rPr>
          <w:sz w:val="24"/>
          <w:szCs w:val="24"/>
        </w:rPr>
        <w:t xml:space="preserve">or </w:t>
      </w:r>
      <w:r w:rsidR="00642DFA">
        <w:rPr>
          <w:sz w:val="24"/>
          <w:szCs w:val="24"/>
        </w:rPr>
        <w:t xml:space="preserve">be </w:t>
      </w:r>
      <w:r w:rsidR="00D65F52" w:rsidRPr="00856BE3">
        <w:rPr>
          <w:sz w:val="24"/>
          <w:szCs w:val="24"/>
        </w:rPr>
        <w:t xml:space="preserve">used as a groundwork for future research. </w:t>
      </w:r>
    </w:p>
    <w:p w14:paraId="510BAE57" w14:textId="71BEF57E" w:rsidR="00866B95" w:rsidRDefault="00866B95" w:rsidP="00856BE3">
      <w:pPr>
        <w:pStyle w:val="Heading1"/>
        <w:spacing w:line="480" w:lineRule="auto"/>
      </w:pPr>
      <w:r>
        <w:t>Methods</w:t>
      </w:r>
      <w:r w:rsidR="00B05DC8">
        <w:rPr>
          <w:rStyle w:val="FootnoteReference"/>
        </w:rPr>
        <w:footnoteReference w:id="8"/>
      </w:r>
    </w:p>
    <w:p w14:paraId="482C3073" w14:textId="06A498FE" w:rsidR="00866B95" w:rsidRPr="00856BE3" w:rsidRDefault="00866B95" w:rsidP="00856BE3">
      <w:pPr>
        <w:spacing w:line="480" w:lineRule="auto"/>
        <w:rPr>
          <w:sz w:val="24"/>
          <w:szCs w:val="24"/>
        </w:rPr>
      </w:pPr>
      <w:r w:rsidRPr="00856BE3">
        <w:rPr>
          <w:noProof/>
          <w:sz w:val="24"/>
          <w:szCs w:val="24"/>
        </w:rPr>
        <mc:AlternateContent>
          <mc:Choice Requires="wps">
            <w:drawing>
              <wp:anchor distT="0" distB="0" distL="114300" distR="114300" simplePos="0" relativeHeight="251660288" behindDoc="0" locked="0" layoutInCell="1" allowOverlap="1" wp14:anchorId="7E4E2CA5" wp14:editId="1813B3E6">
                <wp:simplePos x="0" y="0"/>
                <wp:positionH relativeFrom="column">
                  <wp:posOffset>-34290</wp:posOffset>
                </wp:positionH>
                <wp:positionV relativeFrom="paragraph">
                  <wp:posOffset>2931160</wp:posOffset>
                </wp:positionV>
                <wp:extent cx="29610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1005" cy="635"/>
                        </a:xfrm>
                        <a:prstGeom prst="rect">
                          <a:avLst/>
                        </a:prstGeom>
                        <a:solidFill>
                          <a:prstClr val="white"/>
                        </a:solidFill>
                        <a:ln>
                          <a:noFill/>
                        </a:ln>
                      </wps:spPr>
                      <wps:txbx>
                        <w:txbxContent>
                          <w:p w14:paraId="6E5E617C" w14:textId="7AE01CAD" w:rsidR="00866B95" w:rsidRPr="009E3EC6" w:rsidRDefault="00866B95" w:rsidP="00866B95">
                            <w:pPr>
                              <w:pStyle w:val="Caption"/>
                              <w:rPr>
                                <w:rFonts w:ascii="Arial" w:hAnsi="Arial" w:cs="Arial"/>
                                <w:noProof/>
                              </w:rPr>
                            </w:pPr>
                            <w:r>
                              <w:t xml:space="preserve">Figure </w:t>
                            </w:r>
                            <w:r w:rsidR="00DD6836">
                              <w:fldChar w:fldCharType="begin"/>
                            </w:r>
                            <w:r w:rsidR="00DD6836">
                              <w:instrText xml:space="preserve"> SEQ Figure \* ARABIC </w:instrText>
                            </w:r>
                            <w:r w:rsidR="00DD6836">
                              <w:fldChar w:fldCharType="separate"/>
                            </w:r>
                            <w:r>
                              <w:rPr>
                                <w:noProof/>
                              </w:rPr>
                              <w:t>2</w:t>
                            </w:r>
                            <w:r w:rsidR="00DD6836">
                              <w:rPr>
                                <w:noProof/>
                              </w:rPr>
                              <w:fldChar w:fldCharType="end"/>
                            </w:r>
                            <w:r>
                              <w:t>: Locations</w:t>
                            </w:r>
                            <w:r w:rsidR="00A16C06">
                              <w:t xml:space="preserve"> of</w:t>
                            </w:r>
                            <w:r>
                              <w:t xml:space="preserve"> communities where data collection was conducted (Morrison,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E2CA5" id="_x0000_t202" coordsize="21600,21600" o:spt="202" path="m,l,21600r21600,l21600,xe">
                <v:stroke joinstyle="miter"/>
                <v:path gradientshapeok="t" o:connecttype="rect"/>
              </v:shapetype>
              <v:shape id="Text Box 2" o:spid="_x0000_s1026" type="#_x0000_t202" style="position:absolute;margin-left:-2.7pt;margin-top:230.8pt;width:23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" stroked="f">
                <v:textbox style="mso-fit-shape-to-text:t" inset="0,0,0,0">
                  <w:txbxContent>
                    <w:p w14:paraId="6E5E617C" w14:textId="7AE01CAD" w:rsidR="00866B95" w:rsidRPr="009E3EC6" w:rsidRDefault="00866B95" w:rsidP="00866B95">
                      <w:pPr>
                        <w:pStyle w:val="Caption"/>
                        <w:rPr>
                          <w:rFonts w:ascii="Arial" w:hAnsi="Arial" w:cs="Arial"/>
                          <w:noProof/>
                        </w:rPr>
                      </w:pPr>
                      <w:r>
                        <w:t xml:space="preserve">Figure </w:t>
                      </w:r>
                      <w:r w:rsidR="00DD6836">
                        <w:fldChar w:fldCharType="begin"/>
                      </w:r>
                      <w:r w:rsidR="00DD6836">
                        <w:instrText xml:space="preserve"> SEQ Figure \* ARABIC </w:instrText>
                      </w:r>
                      <w:r w:rsidR="00DD6836">
                        <w:fldChar w:fldCharType="separate"/>
                      </w:r>
                      <w:r>
                        <w:rPr>
                          <w:noProof/>
                        </w:rPr>
                        <w:t>2</w:t>
                      </w:r>
                      <w:r w:rsidR="00DD6836">
                        <w:rPr>
                          <w:noProof/>
                        </w:rPr>
                        <w:fldChar w:fldCharType="end"/>
                      </w:r>
                      <w:r>
                        <w:t>: Locations</w:t>
                      </w:r>
                      <w:r w:rsidR="00A16C06">
                        <w:t xml:space="preserve"> of</w:t>
                      </w:r>
                      <w:r>
                        <w:t xml:space="preserve"> communities where data collection was conducted (Morrison, 2022)</w:t>
                      </w:r>
                    </w:p>
                  </w:txbxContent>
                </v:textbox>
                <w10:wrap type="square"/>
              </v:shape>
            </w:pict>
          </mc:Fallback>
        </mc:AlternateContent>
      </w:r>
      <w:r w:rsidRPr="00856BE3">
        <w:rPr>
          <w:rFonts w:ascii="Arial" w:hAnsi="Arial" w:cs="Arial"/>
          <w:noProof/>
          <w:sz w:val="24"/>
          <w:szCs w:val="24"/>
        </w:rPr>
        <w:drawing>
          <wp:anchor distT="0" distB="0" distL="114300" distR="114300" simplePos="0" relativeHeight="251659264" behindDoc="0" locked="0" layoutInCell="1" allowOverlap="1" wp14:anchorId="46E93F11" wp14:editId="7D255812">
            <wp:simplePos x="0" y="0"/>
            <wp:positionH relativeFrom="column">
              <wp:posOffset>-34636</wp:posOffset>
            </wp:positionH>
            <wp:positionV relativeFrom="paragraph">
              <wp:posOffset>40755</wp:posOffset>
            </wp:positionV>
            <wp:extent cx="2961005" cy="2833370"/>
            <wp:effectExtent l="0" t="0" r="0" b="5080"/>
            <wp:wrapSquare wrapText="bothSides"/>
            <wp:docPr id="279" name="Picture 27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1005" cy="2833370"/>
                    </a:xfrm>
                    <a:prstGeom prst="rect">
                      <a:avLst/>
                    </a:prstGeom>
                  </pic:spPr>
                </pic:pic>
              </a:graphicData>
            </a:graphic>
            <wp14:sizeRelH relativeFrom="page">
              <wp14:pctWidth>0</wp14:pctWidth>
            </wp14:sizeRelH>
            <wp14:sizeRelV relativeFrom="page">
              <wp14:pctHeight>0</wp14:pctHeight>
            </wp14:sizeRelV>
          </wp:anchor>
        </w:drawing>
      </w:r>
      <w:r w:rsidRPr="00856BE3">
        <w:rPr>
          <w:sz w:val="24"/>
          <w:szCs w:val="24"/>
        </w:rPr>
        <w:t xml:space="preserve">The dataset available consists of qualitative and quantitative variables on the individual, household, </w:t>
      </w:r>
      <w:r w:rsidR="0000251C" w:rsidRPr="00856BE3">
        <w:rPr>
          <w:sz w:val="24"/>
          <w:szCs w:val="24"/>
        </w:rPr>
        <w:t xml:space="preserve">and network </w:t>
      </w:r>
      <w:r w:rsidRPr="00856BE3">
        <w:rPr>
          <w:sz w:val="24"/>
          <w:szCs w:val="24"/>
        </w:rPr>
        <w:t>characteristics of dairy farmers in four rural communities in Western Kenya (Fig2), as well as information on their previous exposure to and preferences of different forms of extension. The author was involved in data collection</w:t>
      </w:r>
      <w:r w:rsidR="001726CB" w:rsidRPr="00856BE3">
        <w:rPr>
          <w:sz w:val="24"/>
          <w:szCs w:val="24"/>
        </w:rPr>
        <w:t xml:space="preserve"> whilst on placement last March</w:t>
      </w:r>
      <w:r w:rsidRPr="00856BE3">
        <w:rPr>
          <w:sz w:val="24"/>
          <w:szCs w:val="24"/>
        </w:rPr>
        <w:t xml:space="preserve">. </w:t>
      </w:r>
    </w:p>
    <w:p w14:paraId="624B7462" w14:textId="1E22A7CA" w:rsidR="00866B95" w:rsidRPr="00856BE3" w:rsidRDefault="00866B95" w:rsidP="00856BE3">
      <w:pPr>
        <w:spacing w:line="480" w:lineRule="auto"/>
        <w:rPr>
          <w:sz w:val="24"/>
          <w:szCs w:val="24"/>
        </w:rPr>
      </w:pPr>
      <w:r w:rsidRPr="00856BE3">
        <w:rPr>
          <w:sz w:val="24"/>
          <w:szCs w:val="24"/>
        </w:rPr>
        <w:t>From this dataset, variables to measure traits of interest</w:t>
      </w:r>
      <w:r w:rsidR="001726CB" w:rsidRPr="00856BE3">
        <w:rPr>
          <w:sz w:val="24"/>
          <w:szCs w:val="24"/>
        </w:rPr>
        <w:t xml:space="preserve"> </w:t>
      </w:r>
      <w:r w:rsidRPr="00856BE3">
        <w:rPr>
          <w:sz w:val="24"/>
          <w:szCs w:val="24"/>
        </w:rPr>
        <w:t xml:space="preserve">– including social capital and network characteristics – will be constructed for </w:t>
      </w:r>
      <w:r w:rsidR="006000A9" w:rsidRPr="00856BE3">
        <w:rPr>
          <w:sz w:val="24"/>
          <w:szCs w:val="24"/>
        </w:rPr>
        <w:t xml:space="preserve">subsequent </w:t>
      </w:r>
      <w:r w:rsidRPr="00856BE3">
        <w:rPr>
          <w:sz w:val="24"/>
          <w:szCs w:val="24"/>
        </w:rPr>
        <w:t>use.</w:t>
      </w:r>
    </w:p>
    <w:p w14:paraId="03BCADD2" w14:textId="497964A1" w:rsidR="00866B95" w:rsidRPr="00856BE3" w:rsidRDefault="00866B95" w:rsidP="00856BE3">
      <w:pPr>
        <w:spacing w:line="480" w:lineRule="auto"/>
        <w:rPr>
          <w:sz w:val="24"/>
          <w:szCs w:val="24"/>
        </w:rPr>
      </w:pPr>
      <w:r w:rsidRPr="00856BE3">
        <w:rPr>
          <w:sz w:val="24"/>
          <w:szCs w:val="24"/>
        </w:rPr>
        <w:t xml:space="preserve">Next, a model will be </w:t>
      </w:r>
      <w:r w:rsidR="0039203D" w:rsidRPr="00856BE3">
        <w:rPr>
          <w:sz w:val="24"/>
          <w:szCs w:val="24"/>
        </w:rPr>
        <w:t>determined</w:t>
      </w:r>
      <w:r w:rsidRPr="00856BE3">
        <w:rPr>
          <w:sz w:val="24"/>
          <w:szCs w:val="24"/>
        </w:rPr>
        <w:t xml:space="preserve"> to </w:t>
      </w:r>
      <w:r w:rsidR="0039203D" w:rsidRPr="00856BE3">
        <w:rPr>
          <w:sz w:val="24"/>
          <w:szCs w:val="24"/>
        </w:rPr>
        <w:t>quantify</w:t>
      </w:r>
      <w:r w:rsidRPr="00856BE3">
        <w:rPr>
          <w:sz w:val="24"/>
          <w:szCs w:val="24"/>
        </w:rPr>
        <w:t xml:space="preserve"> the knowledge and uptake pressure exerted on a farmer by his network. </w:t>
      </w:r>
    </w:p>
    <w:p w14:paraId="60D68E1F" w14:textId="796A0A69" w:rsidR="009F18E1" w:rsidRPr="00856BE3" w:rsidRDefault="007B7FFC" w:rsidP="00856BE3">
      <w:pPr>
        <w:spacing w:line="480" w:lineRule="auto"/>
        <w:rPr>
          <w:sz w:val="24"/>
          <w:szCs w:val="24"/>
        </w:rPr>
      </w:pPr>
      <w:r w:rsidRPr="00856BE3">
        <w:rPr>
          <w:sz w:val="24"/>
          <w:szCs w:val="24"/>
        </w:rPr>
        <w:t>S</w:t>
      </w:r>
      <w:r w:rsidR="009F18E1" w:rsidRPr="00856BE3">
        <w:rPr>
          <w:sz w:val="24"/>
          <w:szCs w:val="24"/>
        </w:rPr>
        <w:t xml:space="preserve">ummary statistics </w:t>
      </w:r>
      <w:r w:rsidR="00DC2B28" w:rsidRPr="00856BE3">
        <w:rPr>
          <w:sz w:val="24"/>
          <w:szCs w:val="24"/>
        </w:rPr>
        <w:t xml:space="preserve">on the data </w:t>
      </w:r>
      <w:r w:rsidR="009F18E1" w:rsidRPr="00856BE3">
        <w:rPr>
          <w:sz w:val="24"/>
          <w:szCs w:val="24"/>
        </w:rPr>
        <w:t xml:space="preserve">will </w:t>
      </w:r>
      <w:r w:rsidR="009B2641" w:rsidRPr="00856BE3">
        <w:rPr>
          <w:sz w:val="24"/>
          <w:szCs w:val="24"/>
        </w:rPr>
        <w:t xml:space="preserve">then be </w:t>
      </w:r>
      <w:r w:rsidR="00C45075" w:rsidRPr="00856BE3">
        <w:rPr>
          <w:sz w:val="24"/>
          <w:szCs w:val="24"/>
        </w:rPr>
        <w:t>calculated</w:t>
      </w:r>
      <w:r w:rsidR="00DC2B28" w:rsidRPr="00856BE3">
        <w:rPr>
          <w:sz w:val="24"/>
          <w:szCs w:val="24"/>
        </w:rPr>
        <w:t>, and figures generated as fitting</w:t>
      </w:r>
      <w:r w:rsidR="009F18E1" w:rsidRPr="00856BE3">
        <w:rPr>
          <w:sz w:val="24"/>
          <w:szCs w:val="24"/>
        </w:rPr>
        <w:t>.</w:t>
      </w:r>
    </w:p>
    <w:p w14:paraId="3C73607F" w14:textId="28C7BC57" w:rsidR="00745EC2" w:rsidRPr="00856BE3" w:rsidRDefault="00115455" w:rsidP="00856BE3">
      <w:pPr>
        <w:spacing w:line="480" w:lineRule="auto"/>
        <w:rPr>
          <w:sz w:val="24"/>
          <w:szCs w:val="24"/>
        </w:rPr>
      </w:pPr>
      <w:r w:rsidRPr="00856BE3">
        <w:rPr>
          <w:sz w:val="24"/>
          <w:szCs w:val="24"/>
        </w:rPr>
        <w:t xml:space="preserve">A logistic regression </w:t>
      </w:r>
      <w:r w:rsidR="00AD07E3" w:rsidRPr="00856BE3">
        <w:rPr>
          <w:sz w:val="24"/>
          <w:szCs w:val="24"/>
        </w:rPr>
        <w:t>will then</w:t>
      </w:r>
      <w:r w:rsidRPr="00856BE3">
        <w:rPr>
          <w:sz w:val="24"/>
          <w:szCs w:val="24"/>
        </w:rPr>
        <w:t xml:space="preserve"> be constructed, </w:t>
      </w:r>
      <w:r w:rsidR="00AD07E3" w:rsidRPr="00856BE3">
        <w:rPr>
          <w:sz w:val="24"/>
          <w:szCs w:val="24"/>
        </w:rPr>
        <w:t xml:space="preserve">regressing a binary </w:t>
      </w:r>
      <w:r w:rsidR="007D05A8" w:rsidRPr="00856BE3">
        <w:rPr>
          <w:sz w:val="24"/>
          <w:szCs w:val="24"/>
        </w:rPr>
        <w:t xml:space="preserve">measure of knowledge of, or uptake of, </w:t>
      </w:r>
      <w:r w:rsidR="00A5419A" w:rsidRPr="00856BE3">
        <w:rPr>
          <w:sz w:val="24"/>
          <w:szCs w:val="24"/>
        </w:rPr>
        <w:t>different dairy technologies</w:t>
      </w:r>
      <w:r w:rsidR="00A5419A" w:rsidRPr="00856BE3">
        <w:rPr>
          <w:rStyle w:val="FootnoteReference"/>
          <w:sz w:val="24"/>
          <w:szCs w:val="24"/>
        </w:rPr>
        <w:footnoteReference w:id="9"/>
      </w:r>
      <w:r w:rsidR="00243686" w:rsidRPr="00856BE3">
        <w:rPr>
          <w:sz w:val="24"/>
          <w:szCs w:val="24"/>
        </w:rPr>
        <w:t xml:space="preserve"> against</w:t>
      </w:r>
      <w:r w:rsidR="00745EC2" w:rsidRPr="00856BE3">
        <w:rPr>
          <w:sz w:val="24"/>
          <w:szCs w:val="24"/>
        </w:rPr>
        <w:t>;</w:t>
      </w:r>
    </w:p>
    <w:p w14:paraId="667F3886" w14:textId="45C43AF0" w:rsidR="00745EC2" w:rsidRPr="00856BE3" w:rsidRDefault="00243686" w:rsidP="00856BE3">
      <w:pPr>
        <w:pStyle w:val="ListParagraph"/>
        <w:numPr>
          <w:ilvl w:val="0"/>
          <w:numId w:val="2"/>
        </w:numPr>
        <w:spacing w:line="480" w:lineRule="auto"/>
        <w:rPr>
          <w:sz w:val="24"/>
          <w:szCs w:val="24"/>
        </w:rPr>
      </w:pPr>
      <w:r w:rsidRPr="00856BE3">
        <w:rPr>
          <w:sz w:val="24"/>
          <w:szCs w:val="24"/>
        </w:rPr>
        <w:lastRenderedPageBreak/>
        <w:t>farmer traits</w:t>
      </w:r>
    </w:p>
    <w:p w14:paraId="1829D067" w14:textId="77777777" w:rsidR="00745EC2" w:rsidRPr="00856BE3" w:rsidRDefault="00243686" w:rsidP="00856BE3">
      <w:pPr>
        <w:pStyle w:val="ListParagraph"/>
        <w:numPr>
          <w:ilvl w:val="0"/>
          <w:numId w:val="2"/>
        </w:numPr>
        <w:spacing w:line="480" w:lineRule="auto"/>
        <w:rPr>
          <w:sz w:val="24"/>
          <w:szCs w:val="24"/>
        </w:rPr>
      </w:pPr>
      <w:r w:rsidRPr="00856BE3">
        <w:rPr>
          <w:sz w:val="24"/>
          <w:szCs w:val="24"/>
        </w:rPr>
        <w:t>household traits</w:t>
      </w:r>
    </w:p>
    <w:p w14:paraId="03F2E2F6" w14:textId="77777777" w:rsidR="00745EC2" w:rsidRPr="00856BE3" w:rsidRDefault="00243686" w:rsidP="00856BE3">
      <w:pPr>
        <w:pStyle w:val="ListParagraph"/>
        <w:numPr>
          <w:ilvl w:val="0"/>
          <w:numId w:val="2"/>
        </w:numPr>
        <w:spacing w:line="480" w:lineRule="auto"/>
        <w:rPr>
          <w:sz w:val="24"/>
          <w:szCs w:val="24"/>
        </w:rPr>
      </w:pPr>
      <w:r w:rsidRPr="00856BE3">
        <w:rPr>
          <w:sz w:val="24"/>
          <w:szCs w:val="24"/>
        </w:rPr>
        <w:t>network/community traits</w:t>
      </w:r>
    </w:p>
    <w:p w14:paraId="23796F45" w14:textId="77777777" w:rsidR="008E343B" w:rsidRPr="00856BE3" w:rsidRDefault="006D0440" w:rsidP="00856BE3">
      <w:pPr>
        <w:pStyle w:val="ListParagraph"/>
        <w:numPr>
          <w:ilvl w:val="0"/>
          <w:numId w:val="2"/>
        </w:numPr>
        <w:spacing w:line="480" w:lineRule="auto"/>
        <w:rPr>
          <w:sz w:val="24"/>
          <w:szCs w:val="24"/>
        </w:rPr>
      </w:pPr>
      <w:r w:rsidRPr="00856BE3">
        <w:rPr>
          <w:sz w:val="24"/>
          <w:szCs w:val="24"/>
        </w:rPr>
        <w:t xml:space="preserve">exposure to different forms of extension </w:t>
      </w:r>
    </w:p>
    <w:p w14:paraId="504B6D9E" w14:textId="714C9EEA" w:rsidR="00AD07E3" w:rsidRPr="00856BE3" w:rsidRDefault="006D0440" w:rsidP="00856BE3">
      <w:pPr>
        <w:pStyle w:val="ListParagraph"/>
        <w:numPr>
          <w:ilvl w:val="0"/>
          <w:numId w:val="2"/>
        </w:numPr>
        <w:spacing w:line="480" w:lineRule="auto"/>
        <w:rPr>
          <w:sz w:val="24"/>
          <w:szCs w:val="24"/>
        </w:rPr>
      </w:pPr>
      <w:r w:rsidRPr="00856BE3">
        <w:rPr>
          <w:sz w:val="24"/>
          <w:szCs w:val="24"/>
        </w:rPr>
        <w:t xml:space="preserve">the </w:t>
      </w:r>
      <w:r w:rsidR="00B6673C" w:rsidRPr="00856BE3">
        <w:rPr>
          <w:sz w:val="24"/>
          <w:szCs w:val="24"/>
        </w:rPr>
        <w:t>influence of social networks</w:t>
      </w:r>
    </w:p>
    <w:p w14:paraId="7EE7AC95" w14:textId="6C61D572" w:rsidR="00745EC2" w:rsidRPr="00856BE3" w:rsidRDefault="007F54FA" w:rsidP="00856BE3">
      <w:pPr>
        <w:pStyle w:val="ListParagraph"/>
        <w:numPr>
          <w:ilvl w:val="0"/>
          <w:numId w:val="2"/>
        </w:numPr>
        <w:spacing w:line="480" w:lineRule="auto"/>
        <w:rPr>
          <w:sz w:val="24"/>
          <w:szCs w:val="24"/>
        </w:rPr>
      </w:pPr>
      <w:r w:rsidRPr="00856BE3">
        <w:rPr>
          <w:sz w:val="24"/>
          <w:szCs w:val="24"/>
        </w:rPr>
        <w:t xml:space="preserve">the interaction of </w:t>
      </w:r>
      <w:r w:rsidR="008E343B" w:rsidRPr="00856BE3">
        <w:rPr>
          <w:sz w:val="24"/>
          <w:szCs w:val="24"/>
        </w:rPr>
        <w:t>4 with 5</w:t>
      </w:r>
      <w:r w:rsidR="00E81102" w:rsidRPr="00856BE3">
        <w:rPr>
          <w:sz w:val="24"/>
          <w:szCs w:val="24"/>
        </w:rPr>
        <w:t xml:space="preserve"> </w:t>
      </w:r>
    </w:p>
    <w:p w14:paraId="7D2723EC" w14:textId="20AF1F3B" w:rsidR="008C55F2" w:rsidRPr="00856BE3" w:rsidRDefault="008C55F2" w:rsidP="00856BE3">
      <w:pPr>
        <w:pStyle w:val="ListParagraph"/>
        <w:numPr>
          <w:ilvl w:val="0"/>
          <w:numId w:val="2"/>
        </w:numPr>
        <w:spacing w:line="480" w:lineRule="auto"/>
        <w:rPr>
          <w:sz w:val="24"/>
          <w:szCs w:val="24"/>
        </w:rPr>
      </w:pPr>
      <w:r w:rsidRPr="00856BE3">
        <w:rPr>
          <w:sz w:val="24"/>
          <w:szCs w:val="24"/>
        </w:rPr>
        <w:t>the interaction of 4</w:t>
      </w:r>
      <w:r w:rsidR="008E343B" w:rsidRPr="00856BE3">
        <w:rPr>
          <w:sz w:val="24"/>
          <w:szCs w:val="24"/>
        </w:rPr>
        <w:t xml:space="preserve"> and 5</w:t>
      </w:r>
      <w:r w:rsidRPr="00856BE3">
        <w:rPr>
          <w:sz w:val="24"/>
          <w:szCs w:val="24"/>
        </w:rPr>
        <w:t xml:space="preserve"> with 1</w:t>
      </w:r>
    </w:p>
    <w:p w14:paraId="00518777" w14:textId="0358B0BD" w:rsidR="008C55F2" w:rsidRPr="00856BE3" w:rsidRDefault="008C55F2" w:rsidP="00856BE3">
      <w:pPr>
        <w:pStyle w:val="ListParagraph"/>
        <w:numPr>
          <w:ilvl w:val="0"/>
          <w:numId w:val="2"/>
        </w:numPr>
        <w:spacing w:line="480" w:lineRule="auto"/>
        <w:rPr>
          <w:sz w:val="24"/>
          <w:szCs w:val="24"/>
        </w:rPr>
      </w:pPr>
      <w:r w:rsidRPr="00856BE3">
        <w:rPr>
          <w:sz w:val="24"/>
          <w:szCs w:val="24"/>
        </w:rPr>
        <w:t xml:space="preserve">the interaction of 4 </w:t>
      </w:r>
      <w:r w:rsidR="008E343B" w:rsidRPr="00856BE3">
        <w:rPr>
          <w:sz w:val="24"/>
          <w:szCs w:val="24"/>
        </w:rPr>
        <w:t xml:space="preserve">and 5 </w:t>
      </w:r>
      <w:r w:rsidRPr="00856BE3">
        <w:rPr>
          <w:sz w:val="24"/>
          <w:szCs w:val="24"/>
        </w:rPr>
        <w:t xml:space="preserve">with </w:t>
      </w:r>
      <w:r w:rsidR="00B5404F" w:rsidRPr="00856BE3">
        <w:rPr>
          <w:sz w:val="24"/>
          <w:szCs w:val="24"/>
        </w:rPr>
        <w:t>2</w:t>
      </w:r>
      <w:r w:rsidRPr="00856BE3">
        <w:rPr>
          <w:sz w:val="24"/>
          <w:szCs w:val="24"/>
        </w:rPr>
        <w:t>, and</w:t>
      </w:r>
    </w:p>
    <w:p w14:paraId="7BEAA346" w14:textId="5035198E" w:rsidR="00771AD4" w:rsidRPr="00856BE3" w:rsidRDefault="008C55F2" w:rsidP="00856BE3">
      <w:pPr>
        <w:pStyle w:val="ListParagraph"/>
        <w:numPr>
          <w:ilvl w:val="0"/>
          <w:numId w:val="2"/>
        </w:numPr>
        <w:spacing w:line="480" w:lineRule="auto"/>
        <w:rPr>
          <w:sz w:val="24"/>
          <w:szCs w:val="24"/>
        </w:rPr>
      </w:pPr>
      <w:r w:rsidRPr="00856BE3">
        <w:rPr>
          <w:sz w:val="24"/>
          <w:szCs w:val="24"/>
        </w:rPr>
        <w:t xml:space="preserve">the interaction of </w:t>
      </w:r>
      <w:r w:rsidR="00B5404F" w:rsidRPr="00856BE3">
        <w:rPr>
          <w:sz w:val="24"/>
          <w:szCs w:val="24"/>
        </w:rPr>
        <w:t xml:space="preserve">4 </w:t>
      </w:r>
      <w:r w:rsidR="00D7673A" w:rsidRPr="00856BE3">
        <w:rPr>
          <w:sz w:val="24"/>
          <w:szCs w:val="24"/>
        </w:rPr>
        <w:t xml:space="preserve">and 5 </w:t>
      </w:r>
      <w:r w:rsidR="00B5404F" w:rsidRPr="00856BE3">
        <w:rPr>
          <w:sz w:val="24"/>
          <w:szCs w:val="24"/>
        </w:rPr>
        <w:t>with 3.</w:t>
      </w:r>
    </w:p>
    <w:p w14:paraId="47A69595" w14:textId="1415DF82" w:rsidR="00E512BC" w:rsidRPr="00856BE3" w:rsidRDefault="009F18E1" w:rsidP="00856BE3">
      <w:pPr>
        <w:spacing w:line="480" w:lineRule="auto"/>
        <w:rPr>
          <w:sz w:val="24"/>
          <w:szCs w:val="24"/>
        </w:rPr>
      </w:pPr>
      <w:r w:rsidRPr="00856BE3">
        <w:rPr>
          <w:sz w:val="24"/>
          <w:szCs w:val="24"/>
        </w:rPr>
        <w:t>T</w:t>
      </w:r>
      <w:r w:rsidR="00E512BC" w:rsidRPr="00856BE3">
        <w:rPr>
          <w:sz w:val="24"/>
          <w:szCs w:val="24"/>
        </w:rPr>
        <w:t xml:space="preserve">esting and comparison of </w:t>
      </w:r>
      <w:r w:rsidR="00DE2EE3" w:rsidRPr="00856BE3">
        <w:rPr>
          <w:sz w:val="24"/>
          <w:szCs w:val="24"/>
        </w:rPr>
        <w:t>regression</w:t>
      </w:r>
      <w:r w:rsidR="00E512BC" w:rsidRPr="00856BE3">
        <w:rPr>
          <w:sz w:val="24"/>
          <w:szCs w:val="24"/>
        </w:rPr>
        <w:t xml:space="preserve"> terms will be carried out</w:t>
      </w:r>
      <w:r w:rsidR="00FA345D" w:rsidRPr="00856BE3">
        <w:rPr>
          <w:sz w:val="24"/>
          <w:szCs w:val="24"/>
        </w:rPr>
        <w:t>, and visualisation</w:t>
      </w:r>
      <w:r w:rsidR="000C60D1" w:rsidRPr="00856BE3">
        <w:rPr>
          <w:sz w:val="24"/>
          <w:szCs w:val="24"/>
        </w:rPr>
        <w:t xml:space="preserve">s </w:t>
      </w:r>
      <w:r w:rsidR="005D22F5" w:rsidRPr="00856BE3">
        <w:rPr>
          <w:sz w:val="24"/>
          <w:szCs w:val="24"/>
        </w:rPr>
        <w:t xml:space="preserve">constructed to communicate the significance </w:t>
      </w:r>
      <w:r w:rsidR="00DE2EE3" w:rsidRPr="00856BE3">
        <w:rPr>
          <w:sz w:val="24"/>
          <w:szCs w:val="24"/>
        </w:rPr>
        <w:t>of each</w:t>
      </w:r>
      <w:r w:rsidR="00E512BC" w:rsidRPr="00856BE3">
        <w:rPr>
          <w:sz w:val="24"/>
          <w:szCs w:val="24"/>
        </w:rPr>
        <w:t>. These will</w:t>
      </w:r>
      <w:r w:rsidR="00D65F52" w:rsidRPr="00856BE3">
        <w:rPr>
          <w:sz w:val="24"/>
          <w:szCs w:val="24"/>
        </w:rPr>
        <w:t xml:space="preserve"> also</w:t>
      </w:r>
      <w:r w:rsidR="00E512BC" w:rsidRPr="00856BE3">
        <w:rPr>
          <w:sz w:val="24"/>
          <w:szCs w:val="24"/>
        </w:rPr>
        <w:t xml:space="preserve"> be compared with farmer</w:t>
      </w:r>
      <w:r w:rsidR="001832F1" w:rsidRPr="00856BE3">
        <w:rPr>
          <w:sz w:val="24"/>
          <w:szCs w:val="24"/>
        </w:rPr>
        <w:t xml:space="preserve">s’ </w:t>
      </w:r>
      <w:r w:rsidR="00DE2EE3" w:rsidRPr="00856BE3">
        <w:rPr>
          <w:sz w:val="24"/>
          <w:szCs w:val="24"/>
        </w:rPr>
        <w:t>(</w:t>
      </w:r>
      <w:r w:rsidR="001832F1" w:rsidRPr="00856BE3">
        <w:rPr>
          <w:sz w:val="24"/>
          <w:szCs w:val="24"/>
        </w:rPr>
        <w:t>self-reported</w:t>
      </w:r>
      <w:r w:rsidR="00DE2EE3" w:rsidRPr="00856BE3">
        <w:rPr>
          <w:sz w:val="24"/>
          <w:szCs w:val="24"/>
        </w:rPr>
        <w:t>)</w:t>
      </w:r>
      <w:r w:rsidR="001832F1" w:rsidRPr="00856BE3">
        <w:rPr>
          <w:sz w:val="24"/>
          <w:szCs w:val="24"/>
        </w:rPr>
        <w:t xml:space="preserve"> prefer</w:t>
      </w:r>
      <w:r w:rsidR="00DE2EE3" w:rsidRPr="00856BE3">
        <w:rPr>
          <w:sz w:val="24"/>
          <w:szCs w:val="24"/>
        </w:rPr>
        <w:t xml:space="preserve">red </w:t>
      </w:r>
      <w:r w:rsidR="001832F1" w:rsidRPr="00856BE3">
        <w:rPr>
          <w:sz w:val="24"/>
          <w:szCs w:val="24"/>
        </w:rPr>
        <w:t>form</w:t>
      </w:r>
      <w:r w:rsidR="00DE2EE3" w:rsidRPr="00856BE3">
        <w:rPr>
          <w:sz w:val="24"/>
          <w:szCs w:val="24"/>
        </w:rPr>
        <w:t>s</w:t>
      </w:r>
      <w:r w:rsidR="001832F1" w:rsidRPr="00856BE3">
        <w:rPr>
          <w:sz w:val="24"/>
          <w:szCs w:val="24"/>
        </w:rPr>
        <w:t xml:space="preserve"> of extension to see how </w:t>
      </w:r>
      <w:r w:rsidR="0020089F" w:rsidRPr="00856BE3">
        <w:rPr>
          <w:sz w:val="24"/>
          <w:szCs w:val="24"/>
        </w:rPr>
        <w:t>the two are related</w:t>
      </w:r>
      <w:r w:rsidR="00944C2B" w:rsidRPr="00856BE3">
        <w:rPr>
          <w:sz w:val="24"/>
          <w:szCs w:val="24"/>
        </w:rPr>
        <w:t>.</w:t>
      </w:r>
      <w:r w:rsidR="00AD42C1" w:rsidRPr="00856BE3">
        <w:rPr>
          <w:sz w:val="24"/>
          <w:szCs w:val="24"/>
        </w:rPr>
        <w:t xml:space="preserve"> </w:t>
      </w:r>
    </w:p>
    <w:p w14:paraId="61234EA6" w14:textId="4BD4633D" w:rsidR="00497B47" w:rsidRPr="00856BE3" w:rsidRDefault="009F3334" w:rsidP="00856BE3">
      <w:pPr>
        <w:spacing w:line="480" w:lineRule="auto"/>
        <w:rPr>
          <w:sz w:val="24"/>
          <w:szCs w:val="24"/>
        </w:rPr>
      </w:pPr>
      <w:r w:rsidRPr="00856BE3">
        <w:rPr>
          <w:sz w:val="24"/>
          <w:szCs w:val="24"/>
        </w:rPr>
        <w:t xml:space="preserve">Finally, findings </w:t>
      </w:r>
      <w:r w:rsidR="001D1AF2" w:rsidRPr="00856BE3">
        <w:rPr>
          <w:sz w:val="24"/>
          <w:szCs w:val="24"/>
        </w:rPr>
        <w:t xml:space="preserve">will be used to interpret </w:t>
      </w:r>
      <w:r w:rsidR="001047CD" w:rsidRPr="00856BE3">
        <w:rPr>
          <w:sz w:val="24"/>
          <w:szCs w:val="24"/>
        </w:rPr>
        <w:t>ho</w:t>
      </w:r>
      <w:r w:rsidR="00B21AB1" w:rsidRPr="00856BE3">
        <w:rPr>
          <w:sz w:val="24"/>
          <w:szCs w:val="24"/>
        </w:rPr>
        <w:t>w the distribution of extension resources affects the efficiency and equity of extension</w:t>
      </w:r>
      <w:r w:rsidR="001D1AF2" w:rsidRPr="00856BE3">
        <w:rPr>
          <w:sz w:val="24"/>
          <w:szCs w:val="24"/>
        </w:rPr>
        <w:t xml:space="preserve">. </w:t>
      </w:r>
    </w:p>
    <w:p w14:paraId="38D654F4" w14:textId="32981BD5" w:rsidR="00C92343" w:rsidRDefault="00C92343" w:rsidP="00856BE3">
      <w:pPr>
        <w:pStyle w:val="Heading1"/>
        <w:spacing w:line="480" w:lineRule="auto"/>
      </w:pPr>
      <w:r>
        <w:t xml:space="preserve">Ethics and risk assessments </w:t>
      </w:r>
    </w:p>
    <w:p w14:paraId="01FCF236" w14:textId="30C3FADD" w:rsidR="00D95BCB" w:rsidRPr="00856BE3" w:rsidRDefault="00346A9D" w:rsidP="00EB2AD1">
      <w:pPr>
        <w:spacing w:line="480" w:lineRule="auto"/>
        <w:rPr>
          <w:sz w:val="24"/>
          <w:szCs w:val="24"/>
        </w:rPr>
      </w:pPr>
      <w:r w:rsidRPr="00856BE3">
        <w:rPr>
          <w:sz w:val="24"/>
          <w:szCs w:val="24"/>
        </w:rPr>
        <w:t>Ethical concerns mostly pertained to the data collection stages, which have been completed.</w:t>
      </w:r>
      <w:r w:rsidR="00923ED6" w:rsidRPr="00856BE3">
        <w:rPr>
          <w:sz w:val="24"/>
          <w:szCs w:val="24"/>
        </w:rPr>
        <w:t xml:space="preserve"> </w:t>
      </w:r>
      <w:r w:rsidR="002725DA">
        <w:rPr>
          <w:sz w:val="24"/>
          <w:szCs w:val="24"/>
        </w:rPr>
        <w:t>Multiple measures were taken to address ethical concerns with the study. S</w:t>
      </w:r>
      <w:r w:rsidR="00923ED6" w:rsidRPr="00856BE3">
        <w:rPr>
          <w:sz w:val="24"/>
          <w:szCs w:val="24"/>
        </w:rPr>
        <w:t>urvey</w:t>
      </w:r>
      <w:r w:rsidR="002725DA">
        <w:rPr>
          <w:sz w:val="24"/>
          <w:szCs w:val="24"/>
        </w:rPr>
        <w:t>s</w:t>
      </w:r>
      <w:r w:rsidR="00923ED6" w:rsidRPr="00856BE3">
        <w:rPr>
          <w:sz w:val="24"/>
          <w:szCs w:val="24"/>
        </w:rPr>
        <w:t xml:space="preserve"> </w:t>
      </w:r>
      <w:r w:rsidR="002725DA">
        <w:rPr>
          <w:sz w:val="24"/>
          <w:szCs w:val="24"/>
        </w:rPr>
        <w:t>were</w:t>
      </w:r>
      <w:r w:rsidR="00923ED6" w:rsidRPr="00856BE3">
        <w:rPr>
          <w:sz w:val="24"/>
          <w:szCs w:val="24"/>
        </w:rPr>
        <w:t xml:space="preserve"> only conducted amongst individuals of at least 18 years of age who were able to give informed consent</w:t>
      </w:r>
      <w:r w:rsidR="002725DA">
        <w:rPr>
          <w:sz w:val="24"/>
          <w:szCs w:val="24"/>
        </w:rPr>
        <w:t>. P</w:t>
      </w:r>
      <w:r w:rsidR="00163A04" w:rsidRPr="00856BE3">
        <w:rPr>
          <w:sz w:val="24"/>
          <w:szCs w:val="24"/>
        </w:rPr>
        <w:t xml:space="preserve">rospective participants were briefed about the scope and format of the </w:t>
      </w:r>
      <w:r w:rsidR="00A400D1" w:rsidRPr="00856BE3">
        <w:rPr>
          <w:sz w:val="24"/>
          <w:szCs w:val="24"/>
        </w:rPr>
        <w:t>study</w:t>
      </w:r>
      <w:r w:rsidR="00A400D1">
        <w:rPr>
          <w:sz w:val="24"/>
          <w:szCs w:val="24"/>
        </w:rPr>
        <w:t xml:space="preserve"> and</w:t>
      </w:r>
      <w:r w:rsidR="00163A04" w:rsidRPr="00856BE3">
        <w:rPr>
          <w:sz w:val="24"/>
          <w:szCs w:val="24"/>
        </w:rPr>
        <w:t xml:space="preserve"> asked to sign a consent form containing details of the study and the researchers, of which they retained a copy. </w:t>
      </w:r>
      <w:r w:rsidR="00090D64" w:rsidRPr="00856BE3">
        <w:rPr>
          <w:sz w:val="24"/>
          <w:szCs w:val="24"/>
        </w:rPr>
        <w:t xml:space="preserve">Surveys were conducted by local, trained enumerators with knowledge of English, Swahili, and some local </w:t>
      </w:r>
      <w:r w:rsidR="00090D64" w:rsidRPr="00856BE3">
        <w:rPr>
          <w:sz w:val="24"/>
          <w:szCs w:val="24"/>
        </w:rPr>
        <w:lastRenderedPageBreak/>
        <w:t>languages</w:t>
      </w:r>
      <w:r w:rsidR="005420BD">
        <w:rPr>
          <w:sz w:val="24"/>
          <w:szCs w:val="24"/>
        </w:rPr>
        <w:t xml:space="preserve"> to </w:t>
      </w:r>
      <w:r w:rsidR="00090D64" w:rsidRPr="00856BE3">
        <w:rPr>
          <w:sz w:val="24"/>
          <w:szCs w:val="24"/>
        </w:rPr>
        <w:t xml:space="preserve">address concerns </w:t>
      </w:r>
      <w:r w:rsidR="005420BD">
        <w:rPr>
          <w:sz w:val="24"/>
          <w:szCs w:val="24"/>
        </w:rPr>
        <w:t xml:space="preserve">relating to a </w:t>
      </w:r>
      <w:r w:rsidR="00574448" w:rsidRPr="00856BE3">
        <w:rPr>
          <w:sz w:val="24"/>
          <w:szCs w:val="24"/>
        </w:rPr>
        <w:t>lack of</w:t>
      </w:r>
      <w:r w:rsidR="005420BD">
        <w:rPr>
          <w:sz w:val="24"/>
          <w:szCs w:val="24"/>
        </w:rPr>
        <w:t xml:space="preserve"> English</w:t>
      </w:r>
      <w:r w:rsidR="00574448" w:rsidRPr="00856BE3">
        <w:rPr>
          <w:sz w:val="24"/>
          <w:szCs w:val="24"/>
        </w:rPr>
        <w:t xml:space="preserve"> proficiency. </w:t>
      </w:r>
      <w:r w:rsidR="004F4DFF" w:rsidRPr="00856BE3">
        <w:rPr>
          <w:sz w:val="24"/>
          <w:szCs w:val="24"/>
        </w:rPr>
        <w:t xml:space="preserve">Any individuals mentioned by </w:t>
      </w:r>
      <w:r w:rsidR="005420BD">
        <w:rPr>
          <w:sz w:val="24"/>
          <w:szCs w:val="24"/>
        </w:rPr>
        <w:t>survey participants w</w:t>
      </w:r>
      <w:r w:rsidR="004F4DFF" w:rsidRPr="00856BE3">
        <w:rPr>
          <w:sz w:val="24"/>
          <w:szCs w:val="24"/>
        </w:rPr>
        <w:t xml:space="preserve">ho were not interviewed or chose not to participate were </w:t>
      </w:r>
      <w:r w:rsidR="009F43B2" w:rsidRPr="00856BE3">
        <w:rPr>
          <w:color w:val="000000" w:themeColor="text1"/>
          <w:sz w:val="24"/>
          <w:szCs w:val="24"/>
        </w:rPr>
        <w:t>pseudonymised, ensuring that details of individuals who ha</w:t>
      </w:r>
      <w:r w:rsidR="005420BD">
        <w:rPr>
          <w:color w:val="000000" w:themeColor="text1"/>
          <w:sz w:val="24"/>
          <w:szCs w:val="24"/>
        </w:rPr>
        <w:t>d</w:t>
      </w:r>
      <w:r w:rsidR="009F43B2" w:rsidRPr="00856BE3">
        <w:rPr>
          <w:color w:val="000000" w:themeColor="text1"/>
          <w:sz w:val="24"/>
          <w:szCs w:val="24"/>
        </w:rPr>
        <w:t xml:space="preserve"> not given consent was not retained. </w:t>
      </w:r>
      <w:r w:rsidR="00D65CF5" w:rsidRPr="00856BE3">
        <w:rPr>
          <w:color w:val="000000" w:themeColor="text1"/>
          <w:sz w:val="24"/>
          <w:szCs w:val="24"/>
        </w:rPr>
        <w:t xml:space="preserve">To address ethical concerns </w:t>
      </w:r>
      <w:r w:rsidR="00D65CF5" w:rsidRPr="00856BE3">
        <w:rPr>
          <w:sz w:val="24"/>
          <w:szCs w:val="24"/>
        </w:rPr>
        <w:t>regarding individuals feeling pressured to p</w:t>
      </w:r>
      <w:r w:rsidR="00DA7399" w:rsidRPr="00856BE3">
        <w:rPr>
          <w:sz w:val="24"/>
          <w:szCs w:val="24"/>
        </w:rPr>
        <w:t xml:space="preserve">articipate, </w:t>
      </w:r>
      <w:r w:rsidR="004350A0" w:rsidRPr="00856BE3">
        <w:rPr>
          <w:sz w:val="24"/>
          <w:szCs w:val="24"/>
        </w:rPr>
        <w:t>individuals approached to participate after being mentioned by other</w:t>
      </w:r>
      <w:r w:rsidR="002F5EE3" w:rsidRPr="00856BE3">
        <w:rPr>
          <w:sz w:val="24"/>
          <w:szCs w:val="24"/>
        </w:rPr>
        <w:t xml:space="preserve">s were not told by whom they were referred, and it was emphasised that participation is voluntary and that they may withdraw at any time. </w:t>
      </w:r>
      <w:r w:rsidR="00A05B15" w:rsidRPr="00856BE3">
        <w:rPr>
          <w:sz w:val="24"/>
          <w:szCs w:val="24"/>
        </w:rPr>
        <w:t>It was made clear</w:t>
      </w:r>
      <w:r w:rsidR="006A0D99" w:rsidRPr="00856BE3">
        <w:rPr>
          <w:sz w:val="24"/>
          <w:szCs w:val="24"/>
        </w:rPr>
        <w:t xml:space="preserve"> </w:t>
      </w:r>
      <w:r w:rsidR="00433BFD" w:rsidRPr="00856BE3">
        <w:rPr>
          <w:sz w:val="24"/>
          <w:szCs w:val="24"/>
        </w:rPr>
        <w:t>by</w:t>
      </w:r>
      <w:r w:rsidR="006A0D99" w:rsidRPr="00856BE3">
        <w:rPr>
          <w:sz w:val="24"/>
          <w:szCs w:val="24"/>
        </w:rPr>
        <w:t xml:space="preserve"> Morrison</w:t>
      </w:r>
      <w:r w:rsidR="00433BFD" w:rsidRPr="00856BE3">
        <w:rPr>
          <w:sz w:val="24"/>
          <w:szCs w:val="24"/>
        </w:rPr>
        <w:t xml:space="preserve"> (2022) that </w:t>
      </w:r>
      <w:r w:rsidR="00E5130B" w:rsidRPr="00856BE3">
        <w:rPr>
          <w:sz w:val="24"/>
          <w:szCs w:val="24"/>
        </w:rPr>
        <w:t xml:space="preserve">dataset, in anonymised form, </w:t>
      </w:r>
      <w:r w:rsidR="003550A9" w:rsidRPr="00856BE3">
        <w:rPr>
          <w:sz w:val="24"/>
          <w:szCs w:val="24"/>
        </w:rPr>
        <w:t>would be made available to other members of the original research project, includ</w:t>
      </w:r>
      <w:r w:rsidR="005F4B7F">
        <w:rPr>
          <w:sz w:val="24"/>
          <w:szCs w:val="24"/>
        </w:rPr>
        <w:t>ing</w:t>
      </w:r>
      <w:r w:rsidR="003550A9" w:rsidRPr="00856BE3">
        <w:rPr>
          <w:sz w:val="24"/>
          <w:szCs w:val="24"/>
        </w:rPr>
        <w:t xml:space="preserve"> myself.</w:t>
      </w:r>
      <w:r w:rsidR="00D95BCB" w:rsidRPr="00856BE3">
        <w:rPr>
          <w:sz w:val="24"/>
          <w:szCs w:val="24"/>
        </w:rPr>
        <w:br/>
        <w:t xml:space="preserve">There are no other noteworthy ethical concerns for the remainder of this research. </w:t>
      </w:r>
    </w:p>
    <w:p w14:paraId="10708DED" w14:textId="2481606C" w:rsidR="00A51CC1" w:rsidRPr="00856BE3" w:rsidRDefault="00205B5C" w:rsidP="00856BE3">
      <w:pPr>
        <w:spacing w:line="480" w:lineRule="auto"/>
        <w:rPr>
          <w:sz w:val="24"/>
          <w:szCs w:val="24"/>
        </w:rPr>
      </w:pPr>
      <w:r w:rsidRPr="00856BE3">
        <w:rPr>
          <w:sz w:val="24"/>
          <w:szCs w:val="24"/>
        </w:rPr>
        <w:t>T</w:t>
      </w:r>
      <w:r w:rsidR="003550A9" w:rsidRPr="00856BE3">
        <w:rPr>
          <w:sz w:val="24"/>
          <w:szCs w:val="24"/>
        </w:rPr>
        <w:t>he ra</w:t>
      </w:r>
      <w:r w:rsidR="00364602" w:rsidRPr="00856BE3">
        <w:rPr>
          <w:sz w:val="24"/>
          <w:szCs w:val="24"/>
        </w:rPr>
        <w:t xml:space="preserve">w data </w:t>
      </w:r>
      <w:r w:rsidR="00274120" w:rsidRPr="00856BE3">
        <w:rPr>
          <w:sz w:val="24"/>
          <w:szCs w:val="24"/>
        </w:rPr>
        <w:t>on which this study is to be conducted is</w:t>
      </w:r>
      <w:r w:rsidR="00D02613" w:rsidRPr="00856BE3">
        <w:rPr>
          <w:sz w:val="24"/>
          <w:szCs w:val="24"/>
        </w:rPr>
        <w:t xml:space="preserve"> very rich, </w:t>
      </w:r>
      <w:r w:rsidR="00274120" w:rsidRPr="00856BE3">
        <w:rPr>
          <w:sz w:val="24"/>
          <w:szCs w:val="24"/>
        </w:rPr>
        <w:t>in that is consists of</w:t>
      </w:r>
      <w:r w:rsidR="001E1E86" w:rsidRPr="00856BE3">
        <w:rPr>
          <w:sz w:val="24"/>
          <w:szCs w:val="24"/>
        </w:rPr>
        <w:t xml:space="preserve"> household and village characteristics in addition to sensitive personal details, including </w:t>
      </w:r>
      <w:r w:rsidR="00F646CE" w:rsidRPr="00856BE3">
        <w:rPr>
          <w:sz w:val="24"/>
          <w:szCs w:val="24"/>
        </w:rPr>
        <w:t>names and cont</w:t>
      </w:r>
      <w:r w:rsidR="00023CE7" w:rsidRPr="00856BE3">
        <w:rPr>
          <w:sz w:val="24"/>
          <w:szCs w:val="24"/>
        </w:rPr>
        <w:t xml:space="preserve">act numbers. This implies considerable risk </w:t>
      </w:r>
      <w:r w:rsidR="005E26A2" w:rsidRPr="00856BE3">
        <w:rPr>
          <w:sz w:val="24"/>
          <w:szCs w:val="24"/>
        </w:rPr>
        <w:t>to participa</w:t>
      </w:r>
      <w:r w:rsidR="005D3073" w:rsidRPr="00856BE3">
        <w:rPr>
          <w:sz w:val="24"/>
          <w:szCs w:val="24"/>
        </w:rPr>
        <w:t xml:space="preserve">nts’ </w:t>
      </w:r>
      <w:r w:rsidR="00346A9D" w:rsidRPr="00856BE3">
        <w:rPr>
          <w:sz w:val="24"/>
          <w:szCs w:val="24"/>
        </w:rPr>
        <w:t>right to data protection</w:t>
      </w:r>
      <w:r w:rsidR="005D3073" w:rsidRPr="00856BE3">
        <w:rPr>
          <w:sz w:val="24"/>
          <w:szCs w:val="24"/>
        </w:rPr>
        <w:t xml:space="preserve">, as well as a risk </w:t>
      </w:r>
      <w:r w:rsidR="00374734" w:rsidRPr="00856BE3">
        <w:rPr>
          <w:sz w:val="24"/>
          <w:szCs w:val="24"/>
        </w:rPr>
        <w:t xml:space="preserve">that participants may be identified. </w:t>
      </w:r>
      <w:r w:rsidR="00EB2AD1" w:rsidRPr="00856BE3">
        <w:rPr>
          <w:sz w:val="24"/>
          <w:szCs w:val="24"/>
        </w:rPr>
        <w:t>To</w:t>
      </w:r>
      <w:r w:rsidR="00DD47AA" w:rsidRPr="00856BE3">
        <w:rPr>
          <w:sz w:val="24"/>
          <w:szCs w:val="24"/>
        </w:rPr>
        <w:t xml:space="preserve"> address </w:t>
      </w:r>
      <w:r w:rsidR="00EB2AD1">
        <w:rPr>
          <w:sz w:val="24"/>
          <w:szCs w:val="24"/>
        </w:rPr>
        <w:t>this</w:t>
      </w:r>
      <w:r w:rsidR="00C51371" w:rsidRPr="00856BE3">
        <w:rPr>
          <w:sz w:val="24"/>
          <w:szCs w:val="24"/>
        </w:rPr>
        <w:t>,</w:t>
      </w:r>
      <w:r w:rsidR="00EB2AD1">
        <w:rPr>
          <w:sz w:val="24"/>
          <w:szCs w:val="24"/>
        </w:rPr>
        <w:t xml:space="preserve"> al</w:t>
      </w:r>
      <w:r w:rsidR="0092441F" w:rsidRPr="00856BE3">
        <w:rPr>
          <w:sz w:val="24"/>
          <w:szCs w:val="24"/>
        </w:rPr>
        <w:t>l s</w:t>
      </w:r>
      <w:r w:rsidR="00D62598" w:rsidRPr="00856BE3">
        <w:rPr>
          <w:sz w:val="24"/>
          <w:szCs w:val="24"/>
        </w:rPr>
        <w:t xml:space="preserve">ensitive </w:t>
      </w:r>
      <w:r w:rsidR="003B3AB5" w:rsidRPr="00856BE3">
        <w:rPr>
          <w:sz w:val="24"/>
          <w:szCs w:val="24"/>
        </w:rPr>
        <w:t xml:space="preserve">details </w:t>
      </w:r>
      <w:r w:rsidR="00477AB8" w:rsidRPr="00856BE3">
        <w:rPr>
          <w:sz w:val="24"/>
          <w:szCs w:val="24"/>
        </w:rPr>
        <w:t xml:space="preserve">collected </w:t>
      </w:r>
      <w:r w:rsidR="00E55D44">
        <w:rPr>
          <w:sz w:val="24"/>
          <w:szCs w:val="24"/>
        </w:rPr>
        <w:t>during</w:t>
      </w:r>
      <w:r w:rsidR="00477AB8" w:rsidRPr="00856BE3">
        <w:rPr>
          <w:sz w:val="24"/>
          <w:szCs w:val="24"/>
        </w:rPr>
        <w:t xml:space="preserve"> surveys</w:t>
      </w:r>
      <w:r w:rsidR="0092441F" w:rsidRPr="00856BE3">
        <w:rPr>
          <w:sz w:val="24"/>
          <w:szCs w:val="24"/>
        </w:rPr>
        <w:t xml:space="preserve"> -</w:t>
      </w:r>
      <w:r w:rsidR="00477AB8" w:rsidRPr="00856BE3">
        <w:rPr>
          <w:sz w:val="24"/>
          <w:szCs w:val="24"/>
        </w:rPr>
        <w:t xml:space="preserve"> including participant </w:t>
      </w:r>
      <w:r w:rsidR="0092441F" w:rsidRPr="00856BE3">
        <w:rPr>
          <w:sz w:val="24"/>
          <w:szCs w:val="24"/>
        </w:rPr>
        <w:t xml:space="preserve">and </w:t>
      </w:r>
      <w:r w:rsidR="00477AB8" w:rsidRPr="00856BE3">
        <w:rPr>
          <w:sz w:val="24"/>
          <w:szCs w:val="24"/>
        </w:rPr>
        <w:t xml:space="preserve">group names, </w:t>
      </w:r>
      <w:r w:rsidR="0092441F" w:rsidRPr="00856BE3">
        <w:rPr>
          <w:sz w:val="24"/>
          <w:szCs w:val="24"/>
        </w:rPr>
        <w:t xml:space="preserve">and village details - </w:t>
      </w:r>
      <w:r w:rsidR="00477AB8" w:rsidRPr="00856BE3">
        <w:rPr>
          <w:sz w:val="24"/>
          <w:szCs w:val="24"/>
        </w:rPr>
        <w:t>have</w:t>
      </w:r>
      <w:r w:rsidR="003B3AB5" w:rsidRPr="00856BE3">
        <w:rPr>
          <w:sz w:val="24"/>
          <w:szCs w:val="24"/>
        </w:rPr>
        <w:t xml:space="preserve"> been anonymised</w:t>
      </w:r>
      <w:r w:rsidR="00B812B0" w:rsidRPr="00856BE3">
        <w:rPr>
          <w:sz w:val="24"/>
          <w:szCs w:val="24"/>
        </w:rPr>
        <w:t xml:space="preserve"> or dropped from the dataset </w:t>
      </w:r>
      <w:r w:rsidR="00477AB8" w:rsidRPr="00856BE3">
        <w:rPr>
          <w:sz w:val="24"/>
          <w:szCs w:val="24"/>
        </w:rPr>
        <w:t xml:space="preserve">which I </w:t>
      </w:r>
      <w:r w:rsidR="00B812B0" w:rsidRPr="00856BE3">
        <w:rPr>
          <w:sz w:val="24"/>
          <w:szCs w:val="24"/>
        </w:rPr>
        <w:t xml:space="preserve">have access to. </w:t>
      </w:r>
      <w:r w:rsidR="00EF677F" w:rsidRPr="00856BE3">
        <w:rPr>
          <w:sz w:val="24"/>
          <w:szCs w:val="24"/>
        </w:rPr>
        <w:t xml:space="preserve">All data and documentation related to this </w:t>
      </w:r>
      <w:r w:rsidR="00EB2AD1">
        <w:rPr>
          <w:sz w:val="24"/>
          <w:szCs w:val="24"/>
        </w:rPr>
        <w:t>research</w:t>
      </w:r>
      <w:r w:rsidR="00EF677F" w:rsidRPr="00856BE3">
        <w:rPr>
          <w:sz w:val="24"/>
          <w:szCs w:val="24"/>
        </w:rPr>
        <w:t xml:space="preserve"> will be stored on a</w:t>
      </w:r>
      <w:r w:rsidR="00D60FDE" w:rsidRPr="00856BE3">
        <w:rPr>
          <w:sz w:val="24"/>
          <w:szCs w:val="24"/>
        </w:rPr>
        <w:t xml:space="preserve"> password-protected personal computer, which will not be left open or unattended in </w:t>
      </w:r>
      <w:r w:rsidR="00597687" w:rsidRPr="00856BE3">
        <w:rPr>
          <w:sz w:val="24"/>
          <w:szCs w:val="24"/>
        </w:rPr>
        <w:t xml:space="preserve">public or where </w:t>
      </w:r>
      <w:r w:rsidR="003C4B3B" w:rsidRPr="00856BE3">
        <w:rPr>
          <w:sz w:val="24"/>
          <w:szCs w:val="24"/>
        </w:rPr>
        <w:t xml:space="preserve">others may gain access to </w:t>
      </w:r>
      <w:r w:rsidR="00EB2AD1">
        <w:rPr>
          <w:sz w:val="24"/>
          <w:szCs w:val="24"/>
        </w:rPr>
        <w:t>it</w:t>
      </w:r>
      <w:r w:rsidR="003C4B3B" w:rsidRPr="00856BE3">
        <w:rPr>
          <w:sz w:val="24"/>
          <w:szCs w:val="24"/>
        </w:rPr>
        <w:t xml:space="preserve">. </w:t>
      </w:r>
      <w:r w:rsidR="006749F1" w:rsidRPr="00856BE3">
        <w:rPr>
          <w:sz w:val="24"/>
          <w:szCs w:val="24"/>
        </w:rPr>
        <w:t>Data will be stored until September 2023</w:t>
      </w:r>
      <w:r w:rsidR="006749F1" w:rsidRPr="00856BE3">
        <w:rPr>
          <w:rStyle w:val="FootnoteReference"/>
          <w:sz w:val="24"/>
          <w:szCs w:val="24"/>
        </w:rPr>
        <w:footnoteReference w:id="10"/>
      </w:r>
      <w:r w:rsidR="00322D2E" w:rsidRPr="00856BE3">
        <w:rPr>
          <w:sz w:val="24"/>
          <w:szCs w:val="24"/>
        </w:rPr>
        <w:t>.</w:t>
      </w:r>
      <w:r w:rsidR="00EB2AD1">
        <w:rPr>
          <w:sz w:val="24"/>
          <w:szCs w:val="24"/>
        </w:rPr>
        <w:t xml:space="preserve"> Raw data will at no stage be shared</w:t>
      </w:r>
      <w:r w:rsidR="00065CCF" w:rsidRPr="00856BE3">
        <w:rPr>
          <w:sz w:val="24"/>
          <w:szCs w:val="24"/>
        </w:rPr>
        <w:t xml:space="preserve">, and particular attention will be paid when writing and reporting findings </w:t>
      </w:r>
      <w:r w:rsidR="00E42591">
        <w:rPr>
          <w:sz w:val="24"/>
          <w:szCs w:val="24"/>
        </w:rPr>
        <w:t xml:space="preserve">to </w:t>
      </w:r>
      <w:r w:rsidR="00065CCF" w:rsidRPr="00856BE3">
        <w:rPr>
          <w:sz w:val="24"/>
          <w:szCs w:val="24"/>
        </w:rPr>
        <w:t xml:space="preserve">not disclose more </w:t>
      </w:r>
      <w:r w:rsidR="00E42591">
        <w:rPr>
          <w:sz w:val="24"/>
          <w:szCs w:val="24"/>
        </w:rPr>
        <w:t xml:space="preserve">information </w:t>
      </w:r>
      <w:r w:rsidR="00065CCF" w:rsidRPr="00856BE3">
        <w:rPr>
          <w:sz w:val="24"/>
          <w:szCs w:val="24"/>
        </w:rPr>
        <w:t>than purely necessary.</w:t>
      </w:r>
    </w:p>
    <w:p w14:paraId="14A687A6" w14:textId="6479643D" w:rsidR="00480681" w:rsidRPr="00856BE3" w:rsidRDefault="00480681" w:rsidP="00856BE3">
      <w:pPr>
        <w:spacing w:line="480" w:lineRule="auto"/>
        <w:rPr>
          <w:sz w:val="24"/>
          <w:szCs w:val="24"/>
        </w:rPr>
      </w:pPr>
      <w:r w:rsidRPr="00856BE3">
        <w:rPr>
          <w:sz w:val="24"/>
          <w:szCs w:val="24"/>
        </w:rPr>
        <w:lastRenderedPageBreak/>
        <w:t xml:space="preserve">Furthermore, Morrison’s original study (2022), during which the data here used was collected, was approved by the </w:t>
      </w:r>
      <w:r w:rsidR="00E927A7" w:rsidRPr="00856BE3">
        <w:rPr>
          <w:sz w:val="24"/>
          <w:szCs w:val="24"/>
        </w:rPr>
        <w:t>R(D)SVS and Easter Bush Campus</w:t>
      </w:r>
      <w:r w:rsidR="00B47453" w:rsidRPr="00856BE3">
        <w:rPr>
          <w:sz w:val="24"/>
          <w:szCs w:val="24"/>
        </w:rPr>
        <w:t xml:space="preserve"> Human (Research) Ethical Review Committee, as will be my study, to ensure that all processes comply with University</w:t>
      </w:r>
      <w:r w:rsidR="00F819F7" w:rsidRPr="00856BE3">
        <w:rPr>
          <w:sz w:val="24"/>
          <w:szCs w:val="24"/>
        </w:rPr>
        <w:t xml:space="preserve"> and UK standards. </w:t>
      </w:r>
    </w:p>
    <w:p w14:paraId="5510E733" w14:textId="77777777" w:rsidR="006806AA" w:rsidRDefault="006806AA">
      <w:pPr>
        <w:rPr>
          <w:rFonts w:asciiTheme="majorHAnsi" w:eastAsiaTheme="majorEastAsia" w:hAnsiTheme="majorHAnsi" w:cstheme="majorBidi"/>
          <w:color w:val="2F5496" w:themeColor="accent1" w:themeShade="BF"/>
          <w:sz w:val="32"/>
          <w:szCs w:val="32"/>
        </w:rPr>
      </w:pPr>
      <w:r>
        <w:br w:type="page"/>
      </w:r>
    </w:p>
    <w:p w14:paraId="38005608" w14:textId="48433339" w:rsidR="00866B95" w:rsidRDefault="00866B95" w:rsidP="00856BE3">
      <w:pPr>
        <w:pStyle w:val="Heading1"/>
        <w:spacing w:line="480" w:lineRule="auto"/>
      </w:pPr>
      <w:r>
        <w:lastRenderedPageBreak/>
        <w:t>References</w:t>
      </w:r>
    </w:p>
    <w:p w14:paraId="7B652012" w14:textId="77777777" w:rsidR="00E42591" w:rsidRPr="00E42591" w:rsidRDefault="00866B95" w:rsidP="00E42591">
      <w:pPr>
        <w:pStyle w:val="Bibliography"/>
        <w:rPr>
          <w:rFonts w:ascii="Calibri" w:hAnsi="Calibri" w:cs="Calibri"/>
          <w:szCs w:val="24"/>
        </w:rPr>
      </w:pPr>
      <w:r>
        <w:fldChar w:fldCharType="begin"/>
      </w:r>
      <w:r w:rsidR="00E42591">
        <w:instrText xml:space="preserve"> ADDIN ZOTERO_BIBL {"uncited":[["http://zotero.org/users/7916616/items/P7VN4UI8"]],"omitted":[],"custom":[]} CSL_BIBLIOGRAPHY </w:instrText>
      </w:r>
      <w:r>
        <w:fldChar w:fldCharType="separate"/>
      </w:r>
      <w:r w:rsidR="00E42591" w:rsidRPr="00E42591">
        <w:rPr>
          <w:rFonts w:ascii="Calibri" w:hAnsi="Calibri" w:cs="Calibri"/>
          <w:szCs w:val="24"/>
        </w:rPr>
        <w:t xml:space="preserve">Banerjee, A. </w:t>
      </w:r>
      <w:r w:rsidR="00E42591" w:rsidRPr="00E42591">
        <w:rPr>
          <w:rFonts w:ascii="Calibri" w:hAnsi="Calibri" w:cs="Calibri"/>
          <w:i/>
          <w:iCs/>
          <w:szCs w:val="24"/>
        </w:rPr>
        <w:t>et al.</w:t>
      </w:r>
      <w:r w:rsidR="00E42591" w:rsidRPr="00E42591">
        <w:rPr>
          <w:rFonts w:ascii="Calibri" w:hAnsi="Calibri" w:cs="Calibri"/>
          <w:szCs w:val="24"/>
        </w:rPr>
        <w:t xml:space="preserve"> (2013) ‘The Diffusion of Microfinance’, </w:t>
      </w:r>
      <w:r w:rsidR="00E42591" w:rsidRPr="00E42591">
        <w:rPr>
          <w:rFonts w:ascii="Calibri" w:hAnsi="Calibri" w:cs="Calibri"/>
          <w:i/>
          <w:iCs/>
          <w:szCs w:val="24"/>
        </w:rPr>
        <w:t>Science</w:t>
      </w:r>
      <w:r w:rsidR="00E42591" w:rsidRPr="00E42591">
        <w:rPr>
          <w:rFonts w:ascii="Calibri" w:hAnsi="Calibri" w:cs="Calibri"/>
          <w:szCs w:val="24"/>
        </w:rPr>
        <w:t>, 341(6144), p. 1236498. Available at: https://doi.org/10.1126/science.1236498.</w:t>
      </w:r>
    </w:p>
    <w:p w14:paraId="718C4FBE"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Barham, B.L. </w:t>
      </w:r>
      <w:r w:rsidRPr="00E42591">
        <w:rPr>
          <w:rFonts w:ascii="Calibri" w:hAnsi="Calibri" w:cs="Calibri"/>
          <w:i/>
          <w:iCs/>
          <w:szCs w:val="24"/>
        </w:rPr>
        <w:t>et al.</w:t>
      </w:r>
      <w:r w:rsidRPr="00E42591">
        <w:rPr>
          <w:rFonts w:ascii="Calibri" w:hAnsi="Calibri" w:cs="Calibri"/>
          <w:szCs w:val="24"/>
        </w:rPr>
        <w:t xml:space="preserve"> (2018) ‘Receptiveness to advice, cognitive ability, and technology adoption’, </w:t>
      </w:r>
      <w:r w:rsidRPr="00E42591">
        <w:rPr>
          <w:rFonts w:ascii="Calibri" w:hAnsi="Calibri" w:cs="Calibri"/>
          <w:i/>
          <w:iCs/>
          <w:szCs w:val="24"/>
        </w:rPr>
        <w:t>Journal of Economic Behavior &amp; Organization</w:t>
      </w:r>
      <w:r w:rsidRPr="00E42591">
        <w:rPr>
          <w:rFonts w:ascii="Calibri" w:hAnsi="Calibri" w:cs="Calibri"/>
          <w:szCs w:val="24"/>
        </w:rPr>
        <w:t>, 149, pp. 239–268. Available at: https://doi.org/10.1016/j.jebo.2017.12.025.</w:t>
      </w:r>
    </w:p>
    <w:p w14:paraId="2EDC19F2"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Beaman, L. </w:t>
      </w:r>
      <w:r w:rsidRPr="00E42591">
        <w:rPr>
          <w:rFonts w:ascii="Calibri" w:hAnsi="Calibri" w:cs="Calibri"/>
          <w:i/>
          <w:iCs/>
          <w:szCs w:val="24"/>
        </w:rPr>
        <w:t>et al.</w:t>
      </w:r>
      <w:r w:rsidRPr="00E42591">
        <w:rPr>
          <w:rFonts w:ascii="Calibri" w:hAnsi="Calibri" w:cs="Calibri"/>
          <w:szCs w:val="24"/>
        </w:rPr>
        <w:t xml:space="preserve"> (2021) ‘Can Network Theory-Based Targeting Increase Technology Adoption?’, </w:t>
      </w:r>
      <w:r w:rsidRPr="00E42591">
        <w:rPr>
          <w:rFonts w:ascii="Calibri" w:hAnsi="Calibri" w:cs="Calibri"/>
          <w:i/>
          <w:iCs/>
          <w:szCs w:val="24"/>
        </w:rPr>
        <w:t>American Economic Review</w:t>
      </w:r>
      <w:r w:rsidRPr="00E42591">
        <w:rPr>
          <w:rFonts w:ascii="Calibri" w:hAnsi="Calibri" w:cs="Calibri"/>
          <w:szCs w:val="24"/>
        </w:rPr>
        <w:t>, 111(6), pp. 1918–1943. Available at: https://doi.org/10.1257/aer.20200295.</w:t>
      </w:r>
    </w:p>
    <w:p w14:paraId="4CDC1E5F"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Beaman, L. and Dillon, A. (2018) ‘Diffusion of agricultural information within social networks: Evidence on gender inequalities from Mali’, </w:t>
      </w:r>
      <w:r w:rsidRPr="00E42591">
        <w:rPr>
          <w:rFonts w:ascii="Calibri" w:hAnsi="Calibri" w:cs="Calibri"/>
          <w:i/>
          <w:iCs/>
          <w:szCs w:val="24"/>
        </w:rPr>
        <w:t>Journal of Development Economics</w:t>
      </w:r>
      <w:r w:rsidRPr="00E42591">
        <w:rPr>
          <w:rFonts w:ascii="Calibri" w:hAnsi="Calibri" w:cs="Calibri"/>
          <w:szCs w:val="24"/>
        </w:rPr>
        <w:t>, 133, pp. 147–161. Available at: https://doi.org/10.1016/j.jdeveco.2018.01.009.</w:t>
      </w:r>
    </w:p>
    <w:p w14:paraId="33860AF6"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Button, H. (2022) </w:t>
      </w:r>
      <w:r w:rsidRPr="00E42591">
        <w:rPr>
          <w:rFonts w:ascii="Calibri" w:hAnsi="Calibri" w:cs="Calibri"/>
          <w:i/>
          <w:iCs/>
          <w:szCs w:val="24"/>
        </w:rPr>
        <w:t>Drought-Induced Loss of Livestock in Horn of Africa Will Impact Communities “For Years to Come” | Agrilinks</w:t>
      </w:r>
      <w:r w:rsidRPr="00E42591">
        <w:rPr>
          <w:rFonts w:ascii="Calibri" w:hAnsi="Calibri" w:cs="Calibri"/>
          <w:szCs w:val="24"/>
        </w:rPr>
        <w:t>. Available at: http://www.agrilinks.org/post/drought-induced-loss-livestock-horn-africa-will-impact-communities-years-come (Accessed: 19 October 2022).</w:t>
      </w:r>
    </w:p>
    <w:p w14:paraId="385F6126"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Clarke, S. (2021) </w:t>
      </w:r>
      <w:r w:rsidRPr="00E42591">
        <w:rPr>
          <w:rFonts w:ascii="Calibri" w:hAnsi="Calibri" w:cs="Calibri"/>
          <w:i/>
          <w:iCs/>
          <w:szCs w:val="24"/>
        </w:rPr>
        <w:t>Inflation rising in Africa, but central banks to be tolerant</w:t>
      </w:r>
      <w:r w:rsidRPr="00E42591">
        <w:rPr>
          <w:rFonts w:ascii="Calibri" w:hAnsi="Calibri" w:cs="Calibri"/>
          <w:szCs w:val="24"/>
        </w:rPr>
        <w:t xml:space="preserve">, </w:t>
      </w:r>
      <w:r w:rsidRPr="00E42591">
        <w:rPr>
          <w:rFonts w:ascii="Calibri" w:hAnsi="Calibri" w:cs="Calibri"/>
          <w:i/>
          <w:iCs/>
          <w:szCs w:val="24"/>
        </w:rPr>
        <w:t>Economist Intelligence Unit</w:t>
      </w:r>
      <w:r w:rsidRPr="00E42591">
        <w:rPr>
          <w:rFonts w:ascii="Calibri" w:hAnsi="Calibri" w:cs="Calibri"/>
          <w:szCs w:val="24"/>
        </w:rPr>
        <w:t>. Available at: https://www.eiu.com/n/inflation-rising-in-africa-but-central-banks-to-be-tolerant/ (Accessed: 22 October 2022).</w:t>
      </w:r>
    </w:p>
    <w:p w14:paraId="3E1ECA38"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Fafchamps, M., Söderbom, M. and van den Boogart, M. (2022) ‘Adoption with Social Learning and Network Externalities*’, </w:t>
      </w:r>
      <w:r w:rsidRPr="00E42591">
        <w:rPr>
          <w:rFonts w:ascii="Calibri" w:hAnsi="Calibri" w:cs="Calibri"/>
          <w:i/>
          <w:iCs/>
          <w:szCs w:val="24"/>
        </w:rPr>
        <w:t>Oxford Bulletin of Economics and Statistics</w:t>
      </w:r>
      <w:r w:rsidRPr="00E42591">
        <w:rPr>
          <w:rFonts w:ascii="Calibri" w:hAnsi="Calibri" w:cs="Calibri"/>
          <w:szCs w:val="24"/>
        </w:rPr>
        <w:t>, n/a(n/a). Available at: https://doi.org/10.1111/obes.12491.</w:t>
      </w:r>
    </w:p>
    <w:p w14:paraId="3E4090E6"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Fisher, M. </w:t>
      </w:r>
      <w:r w:rsidRPr="00E42591">
        <w:rPr>
          <w:rFonts w:ascii="Calibri" w:hAnsi="Calibri" w:cs="Calibri"/>
          <w:i/>
          <w:iCs/>
          <w:szCs w:val="24"/>
        </w:rPr>
        <w:t>et al.</w:t>
      </w:r>
      <w:r w:rsidRPr="00E42591">
        <w:rPr>
          <w:rFonts w:ascii="Calibri" w:hAnsi="Calibri" w:cs="Calibri"/>
          <w:szCs w:val="24"/>
        </w:rPr>
        <w:t xml:space="preserve"> (2018) ‘Awareness and adoption of conservation agriculture in Malawi: what difference can farmer-to-farmer extension make?’, </w:t>
      </w:r>
      <w:r w:rsidRPr="00E42591">
        <w:rPr>
          <w:rFonts w:ascii="Calibri" w:hAnsi="Calibri" w:cs="Calibri"/>
          <w:i/>
          <w:iCs/>
          <w:szCs w:val="24"/>
        </w:rPr>
        <w:t>International Journal of Agricultural Sustainability</w:t>
      </w:r>
      <w:r w:rsidRPr="00E42591">
        <w:rPr>
          <w:rFonts w:ascii="Calibri" w:hAnsi="Calibri" w:cs="Calibri"/>
          <w:szCs w:val="24"/>
        </w:rPr>
        <w:t>, 16(3), pp. 310–325. Available at: https://doi.org/10.1080/14735903.2018.1472411.</w:t>
      </w:r>
    </w:p>
    <w:p w14:paraId="4E039721"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Fuglie, K. and Wang, S.L. (2012) ‘Productivity Growth in Global Agriculture Shifting to Developing Countries’, p. 7.</w:t>
      </w:r>
    </w:p>
    <w:p w14:paraId="7AC9A314"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Hatab, A.A. (2022) ‘Africa’s Food Security under the Shadow of the Russia-Ukraine Conflict’, </w:t>
      </w:r>
      <w:r w:rsidRPr="00E42591">
        <w:rPr>
          <w:rFonts w:ascii="Calibri" w:hAnsi="Calibri" w:cs="Calibri"/>
          <w:i/>
          <w:iCs/>
          <w:szCs w:val="24"/>
        </w:rPr>
        <w:t>Strategic Review for Southern Africa</w:t>
      </w:r>
      <w:r w:rsidRPr="00E42591">
        <w:rPr>
          <w:rFonts w:ascii="Calibri" w:hAnsi="Calibri" w:cs="Calibri"/>
          <w:szCs w:val="24"/>
        </w:rPr>
        <w:t>, 44(1). Available at: https://doi.org/10.35293/srsa.v44i1.4083.</w:t>
      </w:r>
    </w:p>
    <w:p w14:paraId="24822B28"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‘IPCC Sixth Assessment Report - Regional fact sheet - Africa’ (2022). Available at: https://www.ipcc.ch/report/ar6/wg1/downloads/factsheets/IPCC_AR6_WGI_Regional_Fact_Sheet_Africa.pdf (Accessed: 19 October 2022).</w:t>
      </w:r>
    </w:p>
    <w:p w14:paraId="30BE5ECC"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Kiptot, E. and Franzel, S. (2015) ‘Farmer-to-farmer extension: opportunities for enhancing performance of volunteer farmer trainers in Kenya’, </w:t>
      </w:r>
      <w:r w:rsidRPr="00E42591">
        <w:rPr>
          <w:rFonts w:ascii="Calibri" w:hAnsi="Calibri" w:cs="Calibri"/>
          <w:i/>
          <w:iCs/>
          <w:szCs w:val="24"/>
        </w:rPr>
        <w:t>Development in Practice</w:t>
      </w:r>
      <w:r w:rsidRPr="00E42591">
        <w:rPr>
          <w:rFonts w:ascii="Calibri" w:hAnsi="Calibri" w:cs="Calibri"/>
          <w:szCs w:val="24"/>
        </w:rPr>
        <w:t>, 25(4), pp. 503–517. Available at: https://doi.org/10.1080/09614524.2015.1029438.</w:t>
      </w:r>
    </w:p>
    <w:p w14:paraId="1247739B"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Krishnan, P. and Patnam, M. (2014) ‘Neighbors and Extension Agents in Ethiopia: Who Matters More for Technology Adoption?’, </w:t>
      </w:r>
      <w:r w:rsidRPr="00E42591">
        <w:rPr>
          <w:rFonts w:ascii="Calibri" w:hAnsi="Calibri" w:cs="Calibri"/>
          <w:i/>
          <w:iCs/>
          <w:szCs w:val="24"/>
        </w:rPr>
        <w:t>American Journal of Agricultural Economics</w:t>
      </w:r>
      <w:r w:rsidRPr="00E42591">
        <w:rPr>
          <w:rFonts w:ascii="Calibri" w:hAnsi="Calibri" w:cs="Calibri"/>
          <w:szCs w:val="24"/>
        </w:rPr>
        <w:t>, 96(1), pp. 308–327. Available at: https://doi.org/10.1093/ajae/aat017.</w:t>
      </w:r>
    </w:p>
    <w:p w14:paraId="5A2ABD53"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lastRenderedPageBreak/>
        <w:t xml:space="preserve">Maertens, A. (2017) ‘Who Cares What Others Think (or Do)? Social Learning and Social Pressures in Cotton Farming in India’, </w:t>
      </w:r>
      <w:r w:rsidRPr="00E42591">
        <w:rPr>
          <w:rFonts w:ascii="Calibri" w:hAnsi="Calibri" w:cs="Calibri"/>
          <w:i/>
          <w:iCs/>
          <w:szCs w:val="24"/>
        </w:rPr>
        <w:t>American Journal of Agricultural Economics</w:t>
      </w:r>
      <w:r w:rsidRPr="00E42591">
        <w:rPr>
          <w:rFonts w:ascii="Calibri" w:hAnsi="Calibri" w:cs="Calibri"/>
          <w:szCs w:val="24"/>
        </w:rPr>
        <w:t>, 99(4), pp. 988–1007. Available at: https://doi.org/10.1093/ajae/aaw098.</w:t>
      </w:r>
    </w:p>
    <w:p w14:paraId="34AE05F3"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Morrison, R. (2022) </w:t>
      </w:r>
      <w:r w:rsidRPr="00E42591">
        <w:rPr>
          <w:rFonts w:ascii="Calibri" w:hAnsi="Calibri" w:cs="Calibri"/>
          <w:i/>
          <w:iCs/>
          <w:szCs w:val="24"/>
        </w:rPr>
        <w:t>Farmer networks and the adoption of agricultural innovations in East Africa - Unpublished PhD Thesis.</w:t>
      </w:r>
      <w:r w:rsidRPr="00E42591">
        <w:rPr>
          <w:rFonts w:ascii="Calibri" w:hAnsi="Calibri" w:cs="Calibri"/>
          <w:szCs w:val="24"/>
        </w:rPr>
        <w:t xml:space="preserve"> University of Edinburgh.</w:t>
      </w:r>
    </w:p>
    <w:p w14:paraId="13270B3B"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Serrat, O. (2017) ‘Social Network Analysis’, in O. Serrat (ed.) </w:t>
      </w:r>
      <w:r w:rsidRPr="00E42591">
        <w:rPr>
          <w:rFonts w:ascii="Calibri" w:hAnsi="Calibri" w:cs="Calibri"/>
          <w:i/>
          <w:iCs/>
          <w:szCs w:val="24"/>
        </w:rPr>
        <w:t>Knowledge Solutions: Tools, Methods, and Approaches to Drive Organizational Performance</w:t>
      </w:r>
      <w:r w:rsidRPr="00E42591">
        <w:rPr>
          <w:rFonts w:ascii="Calibri" w:hAnsi="Calibri" w:cs="Calibri"/>
          <w:szCs w:val="24"/>
        </w:rPr>
        <w:t>. Singapore: Springer, pp. 39–43. Available at: https://doi.org/10.1007/978-981-10-0983-9_9.</w:t>
      </w:r>
    </w:p>
    <w:p w14:paraId="5BE682A4"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Takahashi, K., Muraoka, R. and Otsuka, K. (2020) ‘Technology adoption, impact, and extension in developing countries’ agriculture: A review of the recent literature’, </w:t>
      </w:r>
      <w:r w:rsidRPr="00E42591">
        <w:rPr>
          <w:rFonts w:ascii="Calibri" w:hAnsi="Calibri" w:cs="Calibri"/>
          <w:i/>
          <w:iCs/>
          <w:szCs w:val="24"/>
        </w:rPr>
        <w:t>Agricultural Economics</w:t>
      </w:r>
      <w:r w:rsidRPr="00E42591">
        <w:rPr>
          <w:rFonts w:ascii="Calibri" w:hAnsi="Calibri" w:cs="Calibri"/>
          <w:szCs w:val="24"/>
        </w:rPr>
        <w:t>, 51(1), pp. 31–45. Available at: https://doi.org/10.1111/agec.12539.</w:t>
      </w:r>
    </w:p>
    <w:p w14:paraId="352EADDD"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Toreni, A. </w:t>
      </w:r>
      <w:r w:rsidRPr="00E42591">
        <w:rPr>
          <w:rFonts w:ascii="Calibri" w:hAnsi="Calibri" w:cs="Calibri"/>
          <w:i/>
          <w:iCs/>
          <w:szCs w:val="24"/>
        </w:rPr>
        <w:t>et al.</w:t>
      </w:r>
      <w:r w:rsidRPr="00E42591">
        <w:rPr>
          <w:rFonts w:ascii="Calibri" w:hAnsi="Calibri" w:cs="Calibri"/>
          <w:szCs w:val="24"/>
        </w:rPr>
        <w:t xml:space="preserve"> (2022) </w:t>
      </w:r>
      <w:r w:rsidRPr="00E42591">
        <w:rPr>
          <w:rFonts w:ascii="Calibri" w:hAnsi="Calibri" w:cs="Calibri"/>
          <w:i/>
          <w:iCs/>
          <w:szCs w:val="24"/>
        </w:rPr>
        <w:t>Drought in East Africa August 2022</w:t>
      </w:r>
      <w:r w:rsidRPr="00E42591">
        <w:rPr>
          <w:rFonts w:ascii="Calibri" w:hAnsi="Calibri" w:cs="Calibri"/>
          <w:szCs w:val="24"/>
        </w:rPr>
        <w:t>. Luxembourg: Publications Office of the European Union, p. 28. Available at: https://edo.jrc.ec.europa.eu/documents/news/GDODroughtNews202208_East_Africa.pdf (Accessed: 19 October 2022).</w:t>
      </w:r>
    </w:p>
    <w:p w14:paraId="5AD0BA6B" w14:textId="77777777" w:rsidR="00E42591" w:rsidRPr="00E42591" w:rsidRDefault="00E42591" w:rsidP="00E42591">
      <w:pPr>
        <w:pStyle w:val="Bibliography"/>
        <w:rPr>
          <w:rFonts w:ascii="Calibri" w:hAnsi="Calibri" w:cs="Calibri"/>
          <w:szCs w:val="24"/>
        </w:rPr>
      </w:pPr>
      <w:r w:rsidRPr="00E42591">
        <w:rPr>
          <w:rFonts w:ascii="Calibri" w:hAnsi="Calibri" w:cs="Calibri"/>
          <w:szCs w:val="24"/>
        </w:rPr>
        <w:t xml:space="preserve">Varshney, D. </w:t>
      </w:r>
      <w:r w:rsidRPr="00E42591">
        <w:rPr>
          <w:rFonts w:ascii="Calibri" w:hAnsi="Calibri" w:cs="Calibri"/>
          <w:i/>
          <w:iCs/>
          <w:szCs w:val="24"/>
        </w:rPr>
        <w:t>et al.</w:t>
      </w:r>
      <w:r w:rsidRPr="00E42591">
        <w:rPr>
          <w:rFonts w:ascii="Calibri" w:hAnsi="Calibri" w:cs="Calibri"/>
          <w:szCs w:val="24"/>
        </w:rPr>
        <w:t xml:space="preserve"> (2022) ‘Social networks, heterogeneity, and adoption of technologies: Evidence from India’, </w:t>
      </w:r>
      <w:r w:rsidRPr="00E42591">
        <w:rPr>
          <w:rFonts w:ascii="Calibri" w:hAnsi="Calibri" w:cs="Calibri"/>
          <w:i/>
          <w:iCs/>
          <w:szCs w:val="24"/>
        </w:rPr>
        <w:t>Food Policy</w:t>
      </w:r>
      <w:r w:rsidRPr="00E42591">
        <w:rPr>
          <w:rFonts w:ascii="Calibri" w:hAnsi="Calibri" w:cs="Calibri"/>
          <w:szCs w:val="24"/>
        </w:rPr>
        <w:t>, 112, p. 102360. Available at: https://doi.org/10.1016/j.foodpol.2022.102360.</w:t>
      </w:r>
    </w:p>
    <w:p w14:paraId="4645E460" w14:textId="6FB60A20" w:rsidR="00463DAA" w:rsidRDefault="00866B95" w:rsidP="00856BE3">
      <w:pPr>
        <w:spacing w:line="480" w:lineRule="auto"/>
      </w:pPr>
      <w:r>
        <w:fldChar w:fldCharType="end"/>
      </w:r>
    </w:p>
    <w:p w14:paraId="3CC3405A" w14:textId="0F2B6D13" w:rsidR="00666EAA" w:rsidRPr="00385777" w:rsidRDefault="00666EAA" w:rsidP="00856BE3">
      <w:pPr>
        <w:spacing w:line="480" w:lineRule="auto"/>
      </w:pPr>
    </w:p>
    <w:sectPr w:rsidR="00666EAA" w:rsidRPr="00385777" w:rsidSect="006806AA">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E01B" w14:textId="77777777" w:rsidR="007C1734" w:rsidRDefault="007C1734" w:rsidP="002C3D9C">
      <w:pPr>
        <w:spacing w:after="0" w:line="240" w:lineRule="auto"/>
      </w:pPr>
      <w:r>
        <w:separator/>
      </w:r>
    </w:p>
  </w:endnote>
  <w:endnote w:type="continuationSeparator" w:id="0">
    <w:p w14:paraId="025CEEBC" w14:textId="77777777" w:rsidR="007C1734" w:rsidRDefault="007C1734" w:rsidP="002C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A922" w14:textId="77777777" w:rsidR="007C1734" w:rsidRDefault="007C1734" w:rsidP="002C3D9C">
      <w:pPr>
        <w:spacing w:after="0" w:line="240" w:lineRule="auto"/>
      </w:pPr>
      <w:r>
        <w:separator/>
      </w:r>
    </w:p>
  </w:footnote>
  <w:footnote w:type="continuationSeparator" w:id="0">
    <w:p w14:paraId="36F2AA9C" w14:textId="77777777" w:rsidR="007C1734" w:rsidRDefault="007C1734" w:rsidP="002C3D9C">
      <w:pPr>
        <w:spacing w:after="0" w:line="240" w:lineRule="auto"/>
      </w:pPr>
      <w:r>
        <w:continuationSeparator/>
      </w:r>
    </w:p>
  </w:footnote>
  <w:footnote w:id="1">
    <w:p w14:paraId="11A51B1C" w14:textId="18776339" w:rsidR="00E566ED" w:rsidRDefault="00E566ED">
      <w:pPr>
        <w:pStyle w:val="FootnoteText"/>
      </w:pPr>
      <w:r>
        <w:rPr>
          <w:rStyle w:val="FootnoteReference"/>
        </w:rPr>
        <w:footnoteRef/>
      </w:r>
      <w:r>
        <w:t xml:space="preserve"> This refers to social networks of a farmer, </w:t>
      </w:r>
      <w:r w:rsidR="00BB63D4">
        <w:t>which will be evaluated and incorporated using principles of social network analysis</w:t>
      </w:r>
      <w:r w:rsidR="008D0C32">
        <w:t xml:space="preserve"> </w:t>
      </w:r>
      <w:r w:rsidR="00BB63D4">
        <w:fldChar w:fldCharType="begin"/>
      </w:r>
      <w:r w:rsidR="00BB63D4">
        <w:instrText xml:space="preserve"> ADDIN ZOTERO_ITEM CSL_CITATION {"citationID":"8tjUQC36","properties":{"formattedCitation":"(Serrat, 2017)","plainCitation":"(Serrat, 2017)","noteIndex":1},"citationItems":[{"id":1911,"uris":["http://zotero.org/users/7916616/items/4YFAF4GU"],"itemData":{"id":1911,"type":"chapter","abstract":"Power no longer resides exclusively (if at all) in states, institutions, or large corporations. It is located in the networks that structure society. Social network analysis seeks to understand networks and their participants and has two main focuses: the actors and the relationships between them in a specific social context.","container-title":"Knowledge Solutions: Tools, Methods, and Approaches to Drive Organizational Performance","event-place":"Singapore","ISBN":"978-981-10-0983-9","language":"en","note":"DOI: 10.1007/978-981-10-0983-9_9","page":"39-43","publisher":"Springer","publisher-place":"Singapore","source":"Springer Link","title":"Social Network Analysis","URL":"https://doi.org/10.1007/978-981-10-0983-9_9","author":[{"family":"Serrat","given":"Olivier"}],"editor":[{"family":"Serrat","given":"Olivier"}],"accessed":{"date-parts":[["2022",10,24]]},"issued":{"date-parts":[["2017"]]}}}],"schema":"https://github.com/citation-style-language/schema/raw/master/csl-citation.json"} </w:instrText>
      </w:r>
      <w:r w:rsidR="00BB63D4">
        <w:fldChar w:fldCharType="separate"/>
      </w:r>
      <w:r w:rsidR="00BB63D4" w:rsidRPr="00BB63D4">
        <w:rPr>
          <w:rFonts w:ascii="Calibri" w:hAnsi="Calibri" w:cs="Calibri"/>
        </w:rPr>
        <w:t>(Serrat, 2017)</w:t>
      </w:r>
      <w:r w:rsidR="00BB63D4">
        <w:fldChar w:fldCharType="end"/>
      </w:r>
    </w:p>
  </w:footnote>
  <w:footnote w:id="2">
    <w:p w14:paraId="0B4995A9" w14:textId="18A03254" w:rsidR="008A2AE3" w:rsidRDefault="008A2AE3">
      <w:pPr>
        <w:pStyle w:val="FootnoteText"/>
      </w:pPr>
      <w:r>
        <w:rPr>
          <w:rStyle w:val="FootnoteReference"/>
        </w:rPr>
        <w:footnoteRef/>
      </w:r>
      <w:r>
        <w:t xml:space="preserve"> Organised and run by the state</w:t>
      </w:r>
    </w:p>
  </w:footnote>
  <w:footnote w:id="3">
    <w:p w14:paraId="5E2CA14E" w14:textId="59D7AFEB" w:rsidR="00866B95" w:rsidRDefault="00866B95" w:rsidP="00866B95">
      <w:pPr>
        <w:pStyle w:val="FootnoteText"/>
      </w:pPr>
      <w:r>
        <w:rPr>
          <w:rStyle w:val="FootnoteReference"/>
        </w:rPr>
        <w:footnoteRef/>
      </w:r>
      <w:r>
        <w:t xml:space="preserve"> A model of extension whereby farmers are the agents of </w:t>
      </w:r>
      <w:r w:rsidR="009C63E8">
        <w:t>knowledge/technology</w:t>
      </w:r>
      <w:r>
        <w:t xml:space="preserve"> diffusion, informing and training other farmers themselves</w:t>
      </w:r>
    </w:p>
  </w:footnote>
  <w:footnote w:id="4">
    <w:p w14:paraId="33E8EDBF" w14:textId="06E4EFFD" w:rsidR="00CE730E" w:rsidRDefault="00CE730E">
      <w:pPr>
        <w:pStyle w:val="FootnoteText"/>
      </w:pPr>
      <w:r>
        <w:rPr>
          <w:rStyle w:val="FootnoteReference"/>
        </w:rPr>
        <w:footnoteRef/>
      </w:r>
      <w:r>
        <w:t xml:space="preserve"> Namely private, public</w:t>
      </w:r>
      <w:r w:rsidR="00B2208A">
        <w:t xml:space="preserve"> and</w:t>
      </w:r>
      <w:r>
        <w:t xml:space="preserve"> open-access</w:t>
      </w:r>
      <w:r w:rsidR="00B2208A">
        <w:t xml:space="preserve"> (radio, tv, newspapers)</w:t>
      </w:r>
      <w:r>
        <w:t xml:space="preserve"> </w:t>
      </w:r>
      <w:r w:rsidR="00B2208A">
        <w:t>forms of extension</w:t>
      </w:r>
    </w:p>
  </w:footnote>
  <w:footnote w:id="5">
    <w:p w14:paraId="34351190" w14:textId="501C31B1" w:rsidR="00D90F22" w:rsidRDefault="00D90F22">
      <w:pPr>
        <w:pStyle w:val="FootnoteText"/>
      </w:pPr>
      <w:r>
        <w:rPr>
          <w:rStyle w:val="FootnoteReference"/>
        </w:rPr>
        <w:footnoteRef/>
      </w:r>
      <w:r>
        <w:t xml:space="preserve"> This proliferated</w:t>
      </w:r>
      <w:r w:rsidR="004E0914">
        <w:t xml:space="preserve"> rapidly</w:t>
      </w:r>
      <w:r>
        <w:t xml:space="preserve"> in the early 2000s followin</w:t>
      </w:r>
      <w:r w:rsidR="003A0EF8">
        <w:t xml:space="preserve">g the increase interested in Farmer-to-Farmer </w:t>
      </w:r>
      <w:r w:rsidR="004E0914">
        <w:t>E</w:t>
      </w:r>
      <w:r w:rsidR="003A0EF8">
        <w:t xml:space="preserve">xtension, see </w:t>
      </w:r>
      <w:r w:rsidR="003A0EF8" w:rsidRPr="003A0EF8">
        <w:t>Chavas and Nauges, 2020; Takahashi, Muraoka and Otsuka, 2020, p.38; Ochieng, Silvert and Diaz, 2022</w:t>
      </w:r>
    </w:p>
  </w:footnote>
  <w:footnote w:id="6">
    <w:p w14:paraId="0CB9BA54" w14:textId="7DF5C791" w:rsidR="00FD0CDF" w:rsidRDefault="00FD0CDF">
      <w:pPr>
        <w:pStyle w:val="FootnoteText"/>
      </w:pPr>
      <w:r>
        <w:rPr>
          <w:rStyle w:val="FootnoteReference"/>
        </w:rPr>
        <w:footnoteRef/>
      </w:r>
      <w:r>
        <w:t xml:space="preserve"> </w:t>
      </w:r>
      <w:r w:rsidR="008A1B5A">
        <w:fldChar w:fldCharType="begin"/>
      </w:r>
      <w:r w:rsidR="00E42591">
        <w:instrText xml:space="preserve"> ADDIN ZOTERO_ITEM CSL_CITATION {"citationID":"aK0HeQbG","properties":{"formattedCitation":"(Banerjee {\\i{}et al.}, 2013; Krishnan and Patnam, 2014; Maertens, 2017; Barham {\\i{}et al.}, 2018; Beaman and Dillon, 2018; Fisher {\\i{}et al.}, 2018; Beaman {\\i{}et al.}, 2021; Fafchamps, S\\uc0\\u246{}derbom and van den Boogart, 2022; Varshney {\\i{}et al.}, 2022)","plainCitation":"(Banerjee et al., 2013; Krishnan and Patnam, 2014; Maertens, 2017; Barham et al., 2018; Beaman and Dillon, 2018; Fisher et al., 2018; Beaman et al., 2021; Fafchamps, Söderbom and van den Boogart, 2022; Varshney et al., 2022)","dontUpdate":true,"noteIndex":7},"citationItems":[{"id":1980,"uris":["http://zotero.org/users/7916616/items/P3CXY765"],"itemData":{"id":1980,"type":"article-journal","container-title":"Science","DOI":"10.1126/science.1236498","issue":"6144","note":"publisher: American Association for the Advancement of Science","page":"1236498","source":"science.org (Atypon)","title":"The Diffusion of Microfinance","URL":"https://www.science.org/doi/full/10.1126/science.1236498","volume":"341","author":[{"family":"Banerjee","given":"Abhijit"},{"family":"Chandrasekhar","given":"Arun G."},{"family":"Duflo","given":"Esther"},{"family":"Jackson","given":"Matthew O."}],"accessed":{"date-parts":[["2022",10,25]]},"issued":{"date-parts":[["2013",7,26]]}}},{"id":1630,"uris":["http://zotero.org/users/7916616/items/G6KPPJJW"],"itemData":{"id":1630,"type":"article-journal","abstract":"The increased adoption of fertilizer and improved seeds are two key aspects to raising the level of land productivity in Ethiopian agriculture. However, the adoption and diffusion of such technologies has been slow. We use data from Ethiopia between 1999–2009 to examine the role of learning from extension agents versus learning from neighbors for both improved seeds and fertilizer adoption. We combine farmers’ spatial networks with panel data to identify these inﬂuences, and ﬁnd that while the initial impact of extension agents was high, the effect wore off after some time, in contrast to learning from neighbors.","container-title":"American Journal of Agricultural Economics","DOI":"10.1093/ajae/aat017","ISSN":"0002-9092, 1467-8276","issue":"1","journalAbbreviation":"American Journal of Agricultural Economics","language":"en","page":"308-327","source":"DOI.org (Crossref)","title":"Neighbors and Extension Agents in Ethiopia: Who Matters More for Technology Adoption?","title-short":"Neighbors and Extension Agents in Ethiopia","URL":"https://onlinelibrary.wiley.com/doi/abs/10.1093/ajae/aat017","volume":"96","author":[{"family":"Krishnan","given":"Pramila"},{"family":"Patnam","given":"Manasa"}],"accessed":{"date-parts":[["2022",10,22]]},"issued":{"date-parts":[["2014",1]]}}},{"id":1533,"uris":["http://zotero.org/users/7916616/items/LL6BJMVF"],"itemData":{"id":1533,"type":"article-journal","abstract":"This paper examines the role that social networks play in the adoption process of Bacillus thurigiensis (Bt) cotton, a type of genetically engineered cotton that has been available on the Indian market since 2002. Using a unique dataset and empirical methodology, I find that farmers appeared to have exclusively learned from the experimentation of a small set of “progressive” farmers in the village, that is, adoption by other (“regular”) farmers was not considered a useful source of information about the technology. Second, I find evidence of social pressures, originating from the belief that Bt cotton might be hazardous to the environment and livestock, which inhibited adoption, at least for some time.","container-title":"American Journal of Agricultural Economics","DOI":"10.1093/ajae/aaw098","ISSN":"1467-8276","issue":"4","language":"en","note":"_eprint: https://onlinelibrary.wiley.com/doi/pdf/10.1093/ajae/aaw098","page":"988-1007","source":"Wiley Online Library","title":"Who Cares What Others Think (or Do)? Social Learning and Social Pressures in Cotton Farming in India","title-short":"Who Cares What Others Think (or Do)?","URL":"https://onlinelibrary.wiley.com/doi/abs/10.1093/ajae/aaw098","volume":"99","author":[{"family":"Maertens","given":"Annemie"}],"accessed":{"date-parts":[["2022",10,20]]},"issued":{"date-parts":[["2017"]]}}},{"id":1869,"uris":["http://zotero.org/users/7916616/items/C9KIUY3X"],"itemData":{"id":1869,"type":"article-journal","abstract":"We construct a model of technology adoption with agents differing on two dimensions: their cognitive ability and their receptiveness to advice. While cognitive ability unambiguously speeds adoption, receptiveness to advice may speed adoption for individuals with low cognitive ability, but slow adoption for individuals with high cognitive ability. We conduct economic experiments measuring US farmers’ cognitive ability and receptiveness to advice and examine how these characteristics impact their speed of adoption of genetically modified (GM) corn seeds. The empirical analysis shows that early adopters are those who are both quite able cognitively and not receptive to advice.","container-title":"Journal of Economic Behavior &amp; Organization","DOI":"10.1016/j.jebo.2017.12.025","ISSN":"0167-2681","journalAbbreviation":"Journal of Economic Behavior &amp; Organization","language":"en","page":"239-268","source":"ScienceDirect","title":"Receptiveness to advice, cognitive ability, and technology adoption","URL":"https://www.sciencedirect.com/science/article/pii/S016726811730375X","volume":"149","author":[{"family":"Barham","given":"Bradford L."},{"family":"Chavas","given":"Jean-Paul"},{"family":"Fitz","given":"Dylan"},{"family":"Schechter","given":"Laura"}],"accessed":{"date-parts":[["2022",10,24]]},"issued":{"date-parts":[["2018",5,1]]}}},{"id":1456,"uris":["http://zotero.org/users/7916616/items/R78HQ27U"],"itemData":{"id":1456,"type":"article-journal","abstract":"Social networks are an important mechanism for diffusing information when institutions are missing, but there may be distributional consequences from targeting only central nodes in a network. After implementing a social network census, one of three village-level treatments determined which treated nodes in the village received information about composting: random assignment, nodes with the highest degree, or nodes with high betweenness. We then look at how information diffuses through the network. We find information diffusion declines with social distance, suggesting frictions in the diffusion of information. Aggregate knowledge about the technology did not differ across targeting strategies, but targeting nodes using betweenness measures in village-level networks excludes less-connected nodes from new information. Women farmers are less likely to receive information when betweenness centrality is used in targeting, suggesting there are important gender differences, not only in the relationship between social distance and diffusion, but also in the social learning process.","container-title":"Journal of Development Economics","DOI":"10.1016/j.jdeveco.2018.01.009","ISSN":"0304-3878","journalAbbreviation":"Journal of Development Economics","language":"en","page":"147-161","source":"ScienceDirect","title":"Diffusion of agricultural information within social networks: Evidence on gender inequalities from Mali","title-short":"Diffusion of agricultural information within social networks","URL":"https://www.sciencedirect.com/science/article/pii/S0304387818300117","volume":"133","author":[{"family":"Beaman","given":"Lori"},{"family":"Dillon","given":"Andrew"}],"accessed":{"date-parts":[["2022",10,20]]},"issued":{"date-parts":[["2018",7,1]]}}},{"id":1556,"uris":["http://zotero.org/users/7916616/items/ICHU83DQ"],"itemData":{"id":1556,"type":"article-journal","abstract":"Despite the potential of conservation agriculture (CA) for increased crop yields, energy savings, soil erosion control, and water-use efficiency, smallholder farmers in sub-Saharan Africa have been slow to adopt. Farmer-to-farmer extension (F2FE) may have a role to play in overcoming the information access problems and lack of knowledge that may preclude widespread adoption. This study uses data for 180 lead farmers linked to their 455 followers to investigate how F2FE influences awareness and adoption of CA technologies in Malawi. Results from a bivariate probit model for follower farmer awareness and adoption of the three CA principles (minimum soil disturbance, crop residue retention, and crop diversification) reveal four main findings: First, lead farmer motivation increases their effectiveness at diffusing CA practices to their followers. Second, lead farmer familiarity with and adoption of CA both matter to the spread of CA practices, but familiarity appears more important. Third, lead farmers play a more critical role in increasing awareness than adoption of the CA practices. Finally, F2FE is a complement rather than a substitute for other sources of agricultural extension in Malawi's pluralistic extension system and should support but not replace current systems. Research and policy implications are discussed.","container-title":"International Journal of Agricultural Sustainability","DOI":"10.1080/14735903.2018.1472411","ISSN":"1473-5903","issue":"3","note":"publisher: Taylor &amp; Francis\n_eprint: https://doi.org/10.1080/14735903.2018.1472411","page":"310-325","source":"Taylor and Francis+NEJM","title":"Awareness and adoption of conservation agriculture in Malawi: what difference can farmer-to-farmer extension make?","title-short":"Awareness and adoption of conservation agriculture in Malawi","URL":"https://doi.org/10.1080/14735903.2018.1472411","volume":"16","author":[{"family":"Fisher","given":"Monica"},{"family":"Holden","given":"Stein T."},{"family":"Thierfelder","given":"Christian"},{"family":"Katengeza","given":"Samson P."}],"accessed":{"date-parts":[["2022",10,21]]},"issued":{"date-parts":[["2018",5,4]]}}},{"id":1584,"uris":["http://zotero.org/users/7916616/items/ML7BXK73"],"itemData":{"id":1584,"type":"article-journal","abstract":"Can targeting information to network-central farmers induce more adoption of a new agricultural technology? By combining social network data and a field experiment in 200 villages in Malawi, we find that targeting central farmers is important to spur the diffusion process. We also provide evidence of one explanation for why centrality matters: a diffusion process governed by complex contagion. Our results are consistent with a model in which many farmers need to learn from multiple people before they adopt themselves. This means that without proper targeting of information, the diffusion process can stall and technology adoption remains perpetually low. (JEL O13, O18, O33, Q12, Q16)","container-title":"American Economic Review","DOI":"10.1257/aer.20200295","ISSN":"0002-8282","issue":"6","journalAbbreviation":"American Economic Review","language":"en","page":"1918-1943","source":"DOI.org (Crossref)","title":"Can Network Theory-Based Targeting Increase Technology Adoption?","URL":"https://pubs.aeaweb.org/doi/10.1257/aer.20200295","volume":"111","author":[{"family":"Beaman","given":"Lori"},{"family":"BenYishay","given":"Ariel"},{"family":"Magruder","given":"Jeremy"},{"family":"Mobarak","given":"Ahmed Mushfiq"}],"accessed":{"date-parts":[["2022",10,22]]},"issued":{"date-parts":[["2021",6,1]]}}},{"id":1916,"uris":["http://zotero.org/users/7916616/items/RL6EMRXX"],"itemData":{"id":1916,"type":"article-journal","abstract":"We examine patterns of adoption of a new airtime transfer service over time. We document a strong positive correlation between own adoption and increased usage of the new airtime transfer platform by social neighbours. We examine the possible sources of this correlation by distinguishing between network externalities that extend after adoption and social learning that stops after adoption. We find no correlation between usage by social neighbours and own usage after first adoption. We conclude that social learning about the existence and quality of a new product platform are important mechanisms in its diffusion.","container-title":"Oxford Bulletin of Economics and Statistics","DOI":"10.1111/obes.12491","ISSN":"1468-0084","issue":"n/a","language":"en","note":"_eprint: https://onlinelibrary.wiley.com/doi/pdf/10.1111/obes.12491","source":"Wiley Online Library","title":"Adoption with Social Learning and Network Externalities*","URL":"https://onlinelibrary.wiley.com/doi/abs/10.1111/obes.12491","volume":"n/a","author":[{"family":"Fafchamps","given":"Marcel"},{"family":"Söderbom","given":"Måns"},{"family":"Boogart","given":"Monique","non-dropping-particle":"van den"}],"accessed":{"date-parts":[["2022",10,24]]},"issued":{"date-parts":[["2022",3,7]]}}},{"id":2168,"uris":["http://zotero.org/users/7916616/items/V5CC5732"],"itemData":{"id":2168,"type":"article-journal","abstract":"This study examines the role of caste-based affiliations in the smallholders’ social network interactions for adoption choices. In particular, whether lower-caste, namely Scheduled Castes/Scheduled Tribes, farmers rely more on social networks for information than their counterparts. We further explore whether social network effects are more pronounced when farmers interact within their caste than otherwise. Finally, the study tests whether the effects (intra-caste and inter-caste) vary by caste—SC/ST versus non-SC/ST farmers. The study uses a survey of 478 mustard farmers in Rajasthan, India. Econometric concerns related to unobserved heterogeneity are addressed by employing specifications with village fixed effects and a series of robustness tests. Simultaneity concerns are addressed by analyzing the social network effects in a dynamic adoption framework. Results show that the adoption choices regarding hybrid mustard seeds are more pronounced for the lower-caste farmers than for their counterparts. Findings reveal that social network effects are significant in intra-caste but not in the case of inter-caste. Finally, the result shows that the likelihood of accepting advice in technology adoption is higher when SC/ST farmers interact with non-SC/ST network members than when non-SC/ST farmers interact with SC/ST network members.","container-title":"Food Policy","DOI":"10.1016/j.foodpol.2022.102360","ISSN":"0306-9192","journalAbbreviation":"Food Policy","language":"en","page":"102360","source":"ScienceDirect","title":"Social networks, heterogeneity, and adoption of technologies: Evidence from India","title-short":"Social networks, heterogeneity, and adoption of technologies","URL":"https://www.sciencedirect.com/science/article/pii/S0306919222001294","volume":"112","author":[{"family":"Varshney","given":"Deepak"},{"family":"Mishra","given":"Ashok K."},{"family":"Joshi","given":"Pramod K."},{"family":"Roy","given":"Devesh"}],"accessed":{"date-parts":[["2022",10,27]]},"issued":{"date-parts":[["2022",10,1]]}}}],"schema":"https://github.com/citation-style-language/schema/raw/master/csl-citation.json"} </w:instrText>
      </w:r>
      <w:r w:rsidR="008A1B5A">
        <w:fldChar w:fldCharType="separate"/>
      </w:r>
      <w:r w:rsidR="003E7367">
        <w:rPr>
          <w:rFonts w:ascii="Calibri" w:hAnsi="Calibri" w:cs="Calibri"/>
          <w:szCs w:val="24"/>
        </w:rPr>
        <w:t xml:space="preserve">See </w:t>
      </w:r>
      <w:r w:rsidR="003E7367" w:rsidRPr="003E7367">
        <w:rPr>
          <w:rFonts w:ascii="Calibri" w:hAnsi="Calibri" w:cs="Calibri"/>
          <w:szCs w:val="24"/>
        </w:rPr>
        <w:t xml:space="preserve">Banerjee </w:t>
      </w:r>
      <w:r w:rsidR="003E7367" w:rsidRPr="003E7367">
        <w:rPr>
          <w:rFonts w:ascii="Calibri" w:hAnsi="Calibri" w:cs="Calibri"/>
          <w:i/>
          <w:iCs/>
          <w:szCs w:val="24"/>
        </w:rPr>
        <w:t>et al.</w:t>
      </w:r>
      <w:r w:rsidR="003E7367" w:rsidRPr="003E7367">
        <w:rPr>
          <w:rFonts w:ascii="Calibri" w:hAnsi="Calibri" w:cs="Calibri"/>
          <w:szCs w:val="24"/>
        </w:rPr>
        <w:t xml:space="preserve">, 2013; Krishnan and Patnam, 2014; Maertens, 2017; Barham </w:t>
      </w:r>
      <w:r w:rsidR="003E7367" w:rsidRPr="003E7367">
        <w:rPr>
          <w:rFonts w:ascii="Calibri" w:hAnsi="Calibri" w:cs="Calibri"/>
          <w:i/>
          <w:iCs/>
          <w:szCs w:val="24"/>
        </w:rPr>
        <w:t>et al.</w:t>
      </w:r>
      <w:r w:rsidR="003E7367" w:rsidRPr="003E7367">
        <w:rPr>
          <w:rFonts w:ascii="Calibri" w:hAnsi="Calibri" w:cs="Calibri"/>
          <w:szCs w:val="24"/>
        </w:rPr>
        <w:t xml:space="preserve">, 2018; Beaman and Dillon, 2018; Fisher </w:t>
      </w:r>
      <w:r w:rsidR="003E7367" w:rsidRPr="003E7367">
        <w:rPr>
          <w:rFonts w:ascii="Calibri" w:hAnsi="Calibri" w:cs="Calibri"/>
          <w:i/>
          <w:iCs/>
          <w:szCs w:val="24"/>
        </w:rPr>
        <w:t>et al.</w:t>
      </w:r>
      <w:r w:rsidR="003E7367" w:rsidRPr="003E7367">
        <w:rPr>
          <w:rFonts w:ascii="Calibri" w:hAnsi="Calibri" w:cs="Calibri"/>
          <w:szCs w:val="24"/>
        </w:rPr>
        <w:t xml:space="preserve">, 2018; Beaman </w:t>
      </w:r>
      <w:r w:rsidR="003E7367" w:rsidRPr="003E7367">
        <w:rPr>
          <w:rFonts w:ascii="Calibri" w:hAnsi="Calibri" w:cs="Calibri"/>
          <w:i/>
          <w:iCs/>
          <w:szCs w:val="24"/>
        </w:rPr>
        <w:t>et al.</w:t>
      </w:r>
      <w:r w:rsidR="003E7367" w:rsidRPr="003E7367">
        <w:rPr>
          <w:rFonts w:ascii="Calibri" w:hAnsi="Calibri" w:cs="Calibri"/>
          <w:szCs w:val="24"/>
        </w:rPr>
        <w:t xml:space="preserve">, 2021; Fafchamps, Söderbom and van den Boogart, 2022; Varshney </w:t>
      </w:r>
      <w:r w:rsidR="003E7367" w:rsidRPr="003E7367">
        <w:rPr>
          <w:rFonts w:ascii="Calibri" w:hAnsi="Calibri" w:cs="Calibri"/>
          <w:i/>
          <w:iCs/>
          <w:szCs w:val="24"/>
        </w:rPr>
        <w:t>et al.</w:t>
      </w:r>
      <w:r w:rsidR="003E7367" w:rsidRPr="003E7367">
        <w:rPr>
          <w:rFonts w:ascii="Calibri" w:hAnsi="Calibri" w:cs="Calibri"/>
          <w:szCs w:val="24"/>
        </w:rPr>
        <w:t>, 2022</w:t>
      </w:r>
      <w:r w:rsidR="008A1B5A">
        <w:fldChar w:fldCharType="end"/>
      </w:r>
    </w:p>
  </w:footnote>
  <w:footnote w:id="7">
    <w:p w14:paraId="797D24D6" w14:textId="10503567" w:rsidR="00C64C4B" w:rsidRDefault="00C64C4B">
      <w:pPr>
        <w:pStyle w:val="FootnoteText"/>
      </w:pPr>
      <w:r>
        <w:rPr>
          <w:rStyle w:val="FootnoteReference"/>
        </w:rPr>
        <w:footnoteRef/>
      </w:r>
      <w:r>
        <w:t xml:space="preserve"> But must be done so with caution given variation in socio-cultural and economic contexts across sub-Saharan Africa</w:t>
      </w:r>
    </w:p>
  </w:footnote>
  <w:footnote w:id="8">
    <w:p w14:paraId="45DCE91F" w14:textId="35CB55C9" w:rsidR="00B05DC8" w:rsidRDefault="00B05DC8">
      <w:pPr>
        <w:pStyle w:val="FootnoteText"/>
      </w:pPr>
      <w:r>
        <w:rPr>
          <w:rStyle w:val="FootnoteReference"/>
        </w:rPr>
        <w:footnoteRef/>
      </w:r>
      <w:r>
        <w:t xml:space="preserve"> As approved by supervisor</w:t>
      </w:r>
    </w:p>
  </w:footnote>
  <w:footnote w:id="9">
    <w:p w14:paraId="2D640611" w14:textId="76425726" w:rsidR="00A5419A" w:rsidRDefault="00A5419A">
      <w:pPr>
        <w:pStyle w:val="FootnoteText"/>
      </w:pPr>
      <w:r>
        <w:rPr>
          <w:rStyle w:val="FootnoteReference"/>
        </w:rPr>
        <w:footnoteRef/>
      </w:r>
      <w:r>
        <w:t xml:space="preserve"> Namely vaccinations, improved fodder, </w:t>
      </w:r>
      <w:r w:rsidR="00E61357">
        <w:t>artificial insemination and/or</w:t>
      </w:r>
      <w:r>
        <w:t xml:space="preserve"> crossbreeding</w:t>
      </w:r>
    </w:p>
  </w:footnote>
  <w:footnote w:id="10">
    <w:p w14:paraId="5C566100" w14:textId="27CF1763" w:rsidR="006749F1" w:rsidRDefault="006749F1">
      <w:pPr>
        <w:pStyle w:val="FootnoteText"/>
      </w:pPr>
      <w:r>
        <w:rPr>
          <w:rStyle w:val="FootnoteReference"/>
        </w:rPr>
        <w:footnoteRef/>
      </w:r>
      <w:r>
        <w:t xml:space="preserve"> </w:t>
      </w:r>
      <w:r w:rsidR="00683A43">
        <w:t xml:space="preserve">To allow for the conclusion of dissertation research, and any possible </w:t>
      </w:r>
      <w:r w:rsidR="00857CA6">
        <w:t xml:space="preserve">subsequent </w:t>
      </w:r>
      <w:r w:rsidR="00FD2ADE">
        <w:t xml:space="preserve">work </w:t>
      </w:r>
      <w:r w:rsidR="00DD6836">
        <w:t>on related research papers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4B8"/>
    <w:multiLevelType w:val="hybridMultilevel"/>
    <w:tmpl w:val="DDFA7F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52DAF"/>
    <w:multiLevelType w:val="hybridMultilevel"/>
    <w:tmpl w:val="0CAA36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BB1399"/>
    <w:multiLevelType w:val="hybridMultilevel"/>
    <w:tmpl w:val="14E4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9543486">
    <w:abstractNumId w:val="0"/>
  </w:num>
  <w:num w:numId="2" w16cid:durableId="401101397">
    <w:abstractNumId w:val="1"/>
  </w:num>
  <w:num w:numId="3" w16cid:durableId="1508128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9C"/>
    <w:rsid w:val="0000251C"/>
    <w:rsid w:val="000027AA"/>
    <w:rsid w:val="00005BA6"/>
    <w:rsid w:val="0000601A"/>
    <w:rsid w:val="00023CE7"/>
    <w:rsid w:val="00024FC6"/>
    <w:rsid w:val="000270A3"/>
    <w:rsid w:val="00034BD3"/>
    <w:rsid w:val="0003798E"/>
    <w:rsid w:val="00040C9E"/>
    <w:rsid w:val="00046EE2"/>
    <w:rsid w:val="00063CB3"/>
    <w:rsid w:val="00065CCF"/>
    <w:rsid w:val="0006788C"/>
    <w:rsid w:val="00090357"/>
    <w:rsid w:val="00090D64"/>
    <w:rsid w:val="00092850"/>
    <w:rsid w:val="000A593B"/>
    <w:rsid w:val="000B21FA"/>
    <w:rsid w:val="000C039E"/>
    <w:rsid w:val="000C199D"/>
    <w:rsid w:val="000C5C05"/>
    <w:rsid w:val="000C60D1"/>
    <w:rsid w:val="000C6777"/>
    <w:rsid w:val="000D16E8"/>
    <w:rsid w:val="000D4EFC"/>
    <w:rsid w:val="000D771D"/>
    <w:rsid w:val="000F50AF"/>
    <w:rsid w:val="000F7894"/>
    <w:rsid w:val="000F7D42"/>
    <w:rsid w:val="001047CD"/>
    <w:rsid w:val="00104E19"/>
    <w:rsid w:val="00115455"/>
    <w:rsid w:val="00125E00"/>
    <w:rsid w:val="001300E9"/>
    <w:rsid w:val="00135A38"/>
    <w:rsid w:val="00136788"/>
    <w:rsid w:val="00137A25"/>
    <w:rsid w:val="00150817"/>
    <w:rsid w:val="00163A04"/>
    <w:rsid w:val="001726CB"/>
    <w:rsid w:val="001815A0"/>
    <w:rsid w:val="001832F1"/>
    <w:rsid w:val="00186A2F"/>
    <w:rsid w:val="00190779"/>
    <w:rsid w:val="00196427"/>
    <w:rsid w:val="001A10C1"/>
    <w:rsid w:val="001A331E"/>
    <w:rsid w:val="001B03BA"/>
    <w:rsid w:val="001B12DD"/>
    <w:rsid w:val="001D1AF2"/>
    <w:rsid w:val="001D1FDC"/>
    <w:rsid w:val="001D491E"/>
    <w:rsid w:val="001D6BE9"/>
    <w:rsid w:val="001E0213"/>
    <w:rsid w:val="001E1E86"/>
    <w:rsid w:val="0020089F"/>
    <w:rsid w:val="00201691"/>
    <w:rsid w:val="00205B5C"/>
    <w:rsid w:val="00217BBF"/>
    <w:rsid w:val="00222F67"/>
    <w:rsid w:val="00226DC1"/>
    <w:rsid w:val="002377BE"/>
    <w:rsid w:val="00240439"/>
    <w:rsid w:val="00243198"/>
    <w:rsid w:val="00243686"/>
    <w:rsid w:val="00267897"/>
    <w:rsid w:val="002725DA"/>
    <w:rsid w:val="00274120"/>
    <w:rsid w:val="00281066"/>
    <w:rsid w:val="00285BF9"/>
    <w:rsid w:val="00290608"/>
    <w:rsid w:val="002919C1"/>
    <w:rsid w:val="00293D3A"/>
    <w:rsid w:val="002A3DE8"/>
    <w:rsid w:val="002C2A0D"/>
    <w:rsid w:val="002C3D9C"/>
    <w:rsid w:val="002D373D"/>
    <w:rsid w:val="002E327B"/>
    <w:rsid w:val="002E6300"/>
    <w:rsid w:val="002E7CBB"/>
    <w:rsid w:val="002E7E1C"/>
    <w:rsid w:val="002F5EE3"/>
    <w:rsid w:val="003110C0"/>
    <w:rsid w:val="0031421B"/>
    <w:rsid w:val="00314910"/>
    <w:rsid w:val="003159B2"/>
    <w:rsid w:val="00322D2E"/>
    <w:rsid w:val="00330EC3"/>
    <w:rsid w:val="00340CB4"/>
    <w:rsid w:val="00346A9D"/>
    <w:rsid w:val="003550A9"/>
    <w:rsid w:val="003635CE"/>
    <w:rsid w:val="00364602"/>
    <w:rsid w:val="00365C35"/>
    <w:rsid w:val="003727E6"/>
    <w:rsid w:val="00374734"/>
    <w:rsid w:val="00375367"/>
    <w:rsid w:val="00385777"/>
    <w:rsid w:val="0039203D"/>
    <w:rsid w:val="0039364A"/>
    <w:rsid w:val="00394179"/>
    <w:rsid w:val="00394A4F"/>
    <w:rsid w:val="003A0EF8"/>
    <w:rsid w:val="003A7B2C"/>
    <w:rsid w:val="003B1A31"/>
    <w:rsid w:val="003B36AF"/>
    <w:rsid w:val="003B3AB5"/>
    <w:rsid w:val="003C4B3B"/>
    <w:rsid w:val="003D1835"/>
    <w:rsid w:val="003D4BDD"/>
    <w:rsid w:val="003E3272"/>
    <w:rsid w:val="003E7367"/>
    <w:rsid w:val="003E7408"/>
    <w:rsid w:val="003F1979"/>
    <w:rsid w:val="004016DA"/>
    <w:rsid w:val="00402FC9"/>
    <w:rsid w:val="004130F1"/>
    <w:rsid w:val="004149E4"/>
    <w:rsid w:val="0041611A"/>
    <w:rsid w:val="00420043"/>
    <w:rsid w:val="00423C34"/>
    <w:rsid w:val="00433BFD"/>
    <w:rsid w:val="00434279"/>
    <w:rsid w:val="004350A0"/>
    <w:rsid w:val="00441A81"/>
    <w:rsid w:val="004420C6"/>
    <w:rsid w:val="00443B2B"/>
    <w:rsid w:val="00443E36"/>
    <w:rsid w:val="00456FFA"/>
    <w:rsid w:val="004574CC"/>
    <w:rsid w:val="00457953"/>
    <w:rsid w:val="00462734"/>
    <w:rsid w:val="00463DAA"/>
    <w:rsid w:val="004712B3"/>
    <w:rsid w:val="00477AB8"/>
    <w:rsid w:val="00480062"/>
    <w:rsid w:val="00480681"/>
    <w:rsid w:val="00480D5C"/>
    <w:rsid w:val="00494BAD"/>
    <w:rsid w:val="00497B47"/>
    <w:rsid w:val="004A6982"/>
    <w:rsid w:val="004B1380"/>
    <w:rsid w:val="004B6F74"/>
    <w:rsid w:val="004E0914"/>
    <w:rsid w:val="004E195F"/>
    <w:rsid w:val="004E3BD4"/>
    <w:rsid w:val="004F31A6"/>
    <w:rsid w:val="004F4DFF"/>
    <w:rsid w:val="004F5C57"/>
    <w:rsid w:val="004F6B89"/>
    <w:rsid w:val="004F7A6B"/>
    <w:rsid w:val="00503ACB"/>
    <w:rsid w:val="00517E2A"/>
    <w:rsid w:val="0053731A"/>
    <w:rsid w:val="005420BD"/>
    <w:rsid w:val="0054641B"/>
    <w:rsid w:val="005536E7"/>
    <w:rsid w:val="00561C95"/>
    <w:rsid w:val="00574448"/>
    <w:rsid w:val="0057457C"/>
    <w:rsid w:val="005766B0"/>
    <w:rsid w:val="005769EF"/>
    <w:rsid w:val="005771CE"/>
    <w:rsid w:val="0057775C"/>
    <w:rsid w:val="00584FC5"/>
    <w:rsid w:val="00590853"/>
    <w:rsid w:val="0059195A"/>
    <w:rsid w:val="005944AC"/>
    <w:rsid w:val="00597687"/>
    <w:rsid w:val="005A4701"/>
    <w:rsid w:val="005B32D1"/>
    <w:rsid w:val="005B69F7"/>
    <w:rsid w:val="005C5A3D"/>
    <w:rsid w:val="005C6793"/>
    <w:rsid w:val="005D22F5"/>
    <w:rsid w:val="005D3073"/>
    <w:rsid w:val="005D5FD4"/>
    <w:rsid w:val="005E26A2"/>
    <w:rsid w:val="005E4123"/>
    <w:rsid w:val="005F4B7F"/>
    <w:rsid w:val="006000A9"/>
    <w:rsid w:val="00611CD2"/>
    <w:rsid w:val="00632B09"/>
    <w:rsid w:val="0064008E"/>
    <w:rsid w:val="00641AA0"/>
    <w:rsid w:val="006425F0"/>
    <w:rsid w:val="00642DFA"/>
    <w:rsid w:val="006435D3"/>
    <w:rsid w:val="00645A9B"/>
    <w:rsid w:val="00666EAA"/>
    <w:rsid w:val="006749F1"/>
    <w:rsid w:val="00675A50"/>
    <w:rsid w:val="00676CFB"/>
    <w:rsid w:val="0067702F"/>
    <w:rsid w:val="006806AA"/>
    <w:rsid w:val="00682EED"/>
    <w:rsid w:val="00683A43"/>
    <w:rsid w:val="00686E73"/>
    <w:rsid w:val="006A0D99"/>
    <w:rsid w:val="006A4146"/>
    <w:rsid w:val="006A62AC"/>
    <w:rsid w:val="006A7D5C"/>
    <w:rsid w:val="006B062A"/>
    <w:rsid w:val="006B69B5"/>
    <w:rsid w:val="006B78DA"/>
    <w:rsid w:val="006C52ED"/>
    <w:rsid w:val="006D0440"/>
    <w:rsid w:val="006D466C"/>
    <w:rsid w:val="006D5CD9"/>
    <w:rsid w:val="006E1568"/>
    <w:rsid w:val="006F0A83"/>
    <w:rsid w:val="006F1BFB"/>
    <w:rsid w:val="006F28A7"/>
    <w:rsid w:val="006F7245"/>
    <w:rsid w:val="00702D00"/>
    <w:rsid w:val="00704ECA"/>
    <w:rsid w:val="00705222"/>
    <w:rsid w:val="00707286"/>
    <w:rsid w:val="00707E91"/>
    <w:rsid w:val="0071302D"/>
    <w:rsid w:val="00715C05"/>
    <w:rsid w:val="007202D1"/>
    <w:rsid w:val="007219FC"/>
    <w:rsid w:val="00726414"/>
    <w:rsid w:val="00733D4A"/>
    <w:rsid w:val="00735891"/>
    <w:rsid w:val="00744E4F"/>
    <w:rsid w:val="00745EC2"/>
    <w:rsid w:val="00747914"/>
    <w:rsid w:val="0076014E"/>
    <w:rsid w:val="00764BAB"/>
    <w:rsid w:val="00765FF6"/>
    <w:rsid w:val="00766183"/>
    <w:rsid w:val="00767C64"/>
    <w:rsid w:val="00771AD4"/>
    <w:rsid w:val="00774968"/>
    <w:rsid w:val="00780D10"/>
    <w:rsid w:val="007854F7"/>
    <w:rsid w:val="007A7216"/>
    <w:rsid w:val="007B3A5C"/>
    <w:rsid w:val="007B6785"/>
    <w:rsid w:val="007B7FFC"/>
    <w:rsid w:val="007C0C89"/>
    <w:rsid w:val="007C1734"/>
    <w:rsid w:val="007D05A8"/>
    <w:rsid w:val="007D303B"/>
    <w:rsid w:val="007D6E5C"/>
    <w:rsid w:val="007E1726"/>
    <w:rsid w:val="007E53A8"/>
    <w:rsid w:val="007E66A2"/>
    <w:rsid w:val="007F4E21"/>
    <w:rsid w:val="007F54FA"/>
    <w:rsid w:val="00813185"/>
    <w:rsid w:val="00816E0C"/>
    <w:rsid w:val="00824BE3"/>
    <w:rsid w:val="00830DAE"/>
    <w:rsid w:val="00833AB5"/>
    <w:rsid w:val="00833E09"/>
    <w:rsid w:val="008343D1"/>
    <w:rsid w:val="00842BE0"/>
    <w:rsid w:val="0084460A"/>
    <w:rsid w:val="00856BE3"/>
    <w:rsid w:val="00857CA6"/>
    <w:rsid w:val="0086000F"/>
    <w:rsid w:val="00866B95"/>
    <w:rsid w:val="00876413"/>
    <w:rsid w:val="00877D57"/>
    <w:rsid w:val="008856BB"/>
    <w:rsid w:val="00886CC1"/>
    <w:rsid w:val="0089022C"/>
    <w:rsid w:val="008A1B5A"/>
    <w:rsid w:val="008A2AE3"/>
    <w:rsid w:val="008C456D"/>
    <w:rsid w:val="008C55F2"/>
    <w:rsid w:val="008D0C32"/>
    <w:rsid w:val="008D139C"/>
    <w:rsid w:val="008E0784"/>
    <w:rsid w:val="008E343B"/>
    <w:rsid w:val="008E440E"/>
    <w:rsid w:val="008E45EF"/>
    <w:rsid w:val="00911E58"/>
    <w:rsid w:val="00915E8A"/>
    <w:rsid w:val="00921F45"/>
    <w:rsid w:val="00922390"/>
    <w:rsid w:val="00922973"/>
    <w:rsid w:val="00923ED6"/>
    <w:rsid w:val="0092441F"/>
    <w:rsid w:val="00927251"/>
    <w:rsid w:val="0093745C"/>
    <w:rsid w:val="00944C2B"/>
    <w:rsid w:val="009671FA"/>
    <w:rsid w:val="00977EF2"/>
    <w:rsid w:val="00990301"/>
    <w:rsid w:val="009918ED"/>
    <w:rsid w:val="009925DF"/>
    <w:rsid w:val="009A68B7"/>
    <w:rsid w:val="009B15D2"/>
    <w:rsid w:val="009B2641"/>
    <w:rsid w:val="009C63E8"/>
    <w:rsid w:val="009D326B"/>
    <w:rsid w:val="009F18E1"/>
    <w:rsid w:val="009F3334"/>
    <w:rsid w:val="009F43B2"/>
    <w:rsid w:val="009F7025"/>
    <w:rsid w:val="009F7830"/>
    <w:rsid w:val="00A03D08"/>
    <w:rsid w:val="00A05B15"/>
    <w:rsid w:val="00A073E2"/>
    <w:rsid w:val="00A145FC"/>
    <w:rsid w:val="00A16C06"/>
    <w:rsid w:val="00A217C2"/>
    <w:rsid w:val="00A400D1"/>
    <w:rsid w:val="00A502FA"/>
    <w:rsid w:val="00A51CC1"/>
    <w:rsid w:val="00A53065"/>
    <w:rsid w:val="00A5419A"/>
    <w:rsid w:val="00A5707F"/>
    <w:rsid w:val="00A65A45"/>
    <w:rsid w:val="00A6744B"/>
    <w:rsid w:val="00AB22CF"/>
    <w:rsid w:val="00AB48D5"/>
    <w:rsid w:val="00AC4588"/>
    <w:rsid w:val="00AD0210"/>
    <w:rsid w:val="00AD07E3"/>
    <w:rsid w:val="00AD2289"/>
    <w:rsid w:val="00AD42C1"/>
    <w:rsid w:val="00AD7EBA"/>
    <w:rsid w:val="00AE2BAD"/>
    <w:rsid w:val="00AE6D2D"/>
    <w:rsid w:val="00AF5B59"/>
    <w:rsid w:val="00B00CD0"/>
    <w:rsid w:val="00B05DC8"/>
    <w:rsid w:val="00B0666B"/>
    <w:rsid w:val="00B16DBC"/>
    <w:rsid w:val="00B21AB1"/>
    <w:rsid w:val="00B2208A"/>
    <w:rsid w:val="00B23BC9"/>
    <w:rsid w:val="00B25D5D"/>
    <w:rsid w:val="00B33FFB"/>
    <w:rsid w:val="00B40480"/>
    <w:rsid w:val="00B45825"/>
    <w:rsid w:val="00B45C5D"/>
    <w:rsid w:val="00B47453"/>
    <w:rsid w:val="00B52899"/>
    <w:rsid w:val="00B5404F"/>
    <w:rsid w:val="00B6673C"/>
    <w:rsid w:val="00B812B0"/>
    <w:rsid w:val="00B878D9"/>
    <w:rsid w:val="00BA24E1"/>
    <w:rsid w:val="00BB0A3D"/>
    <w:rsid w:val="00BB39BD"/>
    <w:rsid w:val="00BB4E1B"/>
    <w:rsid w:val="00BB63D4"/>
    <w:rsid w:val="00BC3127"/>
    <w:rsid w:val="00BC44A7"/>
    <w:rsid w:val="00BC52C1"/>
    <w:rsid w:val="00BC7797"/>
    <w:rsid w:val="00BD47DF"/>
    <w:rsid w:val="00BE2FD9"/>
    <w:rsid w:val="00BE445D"/>
    <w:rsid w:val="00BF0E6B"/>
    <w:rsid w:val="00C00D02"/>
    <w:rsid w:val="00C042C8"/>
    <w:rsid w:val="00C22357"/>
    <w:rsid w:val="00C303F3"/>
    <w:rsid w:val="00C431CA"/>
    <w:rsid w:val="00C43A84"/>
    <w:rsid w:val="00C45075"/>
    <w:rsid w:val="00C469B1"/>
    <w:rsid w:val="00C511F3"/>
    <w:rsid w:val="00C51371"/>
    <w:rsid w:val="00C63DF9"/>
    <w:rsid w:val="00C6407F"/>
    <w:rsid w:val="00C64C4B"/>
    <w:rsid w:val="00C738B7"/>
    <w:rsid w:val="00C767E8"/>
    <w:rsid w:val="00C775EE"/>
    <w:rsid w:val="00C81D31"/>
    <w:rsid w:val="00C84980"/>
    <w:rsid w:val="00C92343"/>
    <w:rsid w:val="00C94003"/>
    <w:rsid w:val="00CA172C"/>
    <w:rsid w:val="00CA32EC"/>
    <w:rsid w:val="00CB21F9"/>
    <w:rsid w:val="00CD3814"/>
    <w:rsid w:val="00CE730E"/>
    <w:rsid w:val="00D02613"/>
    <w:rsid w:val="00D02F20"/>
    <w:rsid w:val="00D21BBC"/>
    <w:rsid w:val="00D267D5"/>
    <w:rsid w:val="00D33C46"/>
    <w:rsid w:val="00D36005"/>
    <w:rsid w:val="00D3762A"/>
    <w:rsid w:val="00D40035"/>
    <w:rsid w:val="00D438D0"/>
    <w:rsid w:val="00D532AD"/>
    <w:rsid w:val="00D556A5"/>
    <w:rsid w:val="00D60FDE"/>
    <w:rsid w:val="00D62598"/>
    <w:rsid w:val="00D65B90"/>
    <w:rsid w:val="00D65CF5"/>
    <w:rsid w:val="00D65F52"/>
    <w:rsid w:val="00D7673A"/>
    <w:rsid w:val="00D80365"/>
    <w:rsid w:val="00D85447"/>
    <w:rsid w:val="00D90843"/>
    <w:rsid w:val="00D90F22"/>
    <w:rsid w:val="00D91563"/>
    <w:rsid w:val="00D91E5D"/>
    <w:rsid w:val="00D92D99"/>
    <w:rsid w:val="00D95BCB"/>
    <w:rsid w:val="00D96B74"/>
    <w:rsid w:val="00DA04BE"/>
    <w:rsid w:val="00DA143A"/>
    <w:rsid w:val="00DA7399"/>
    <w:rsid w:val="00DB02F0"/>
    <w:rsid w:val="00DB0667"/>
    <w:rsid w:val="00DB383A"/>
    <w:rsid w:val="00DC2B28"/>
    <w:rsid w:val="00DC3221"/>
    <w:rsid w:val="00DD47AA"/>
    <w:rsid w:val="00DD6836"/>
    <w:rsid w:val="00DE2EE3"/>
    <w:rsid w:val="00DE67C1"/>
    <w:rsid w:val="00DF1027"/>
    <w:rsid w:val="00E12AD6"/>
    <w:rsid w:val="00E135C3"/>
    <w:rsid w:val="00E14C6B"/>
    <w:rsid w:val="00E16E8E"/>
    <w:rsid w:val="00E23242"/>
    <w:rsid w:val="00E24CEB"/>
    <w:rsid w:val="00E274DC"/>
    <w:rsid w:val="00E27F6E"/>
    <w:rsid w:val="00E34824"/>
    <w:rsid w:val="00E35C36"/>
    <w:rsid w:val="00E42591"/>
    <w:rsid w:val="00E512BC"/>
    <w:rsid w:val="00E5130B"/>
    <w:rsid w:val="00E55D44"/>
    <w:rsid w:val="00E566ED"/>
    <w:rsid w:val="00E61357"/>
    <w:rsid w:val="00E670D0"/>
    <w:rsid w:val="00E67454"/>
    <w:rsid w:val="00E7130A"/>
    <w:rsid w:val="00E76A97"/>
    <w:rsid w:val="00E810D9"/>
    <w:rsid w:val="00E81102"/>
    <w:rsid w:val="00E927A7"/>
    <w:rsid w:val="00EB1776"/>
    <w:rsid w:val="00EB2AD1"/>
    <w:rsid w:val="00EB3355"/>
    <w:rsid w:val="00EC1277"/>
    <w:rsid w:val="00EC2589"/>
    <w:rsid w:val="00EE0A84"/>
    <w:rsid w:val="00EE4995"/>
    <w:rsid w:val="00EF3121"/>
    <w:rsid w:val="00EF49B7"/>
    <w:rsid w:val="00EF677F"/>
    <w:rsid w:val="00EF74A8"/>
    <w:rsid w:val="00F01BBC"/>
    <w:rsid w:val="00F0316E"/>
    <w:rsid w:val="00F06CBD"/>
    <w:rsid w:val="00F17494"/>
    <w:rsid w:val="00F216FA"/>
    <w:rsid w:val="00F25290"/>
    <w:rsid w:val="00F254F8"/>
    <w:rsid w:val="00F33FED"/>
    <w:rsid w:val="00F37516"/>
    <w:rsid w:val="00F47937"/>
    <w:rsid w:val="00F50CAF"/>
    <w:rsid w:val="00F540B9"/>
    <w:rsid w:val="00F61586"/>
    <w:rsid w:val="00F62C09"/>
    <w:rsid w:val="00F632F2"/>
    <w:rsid w:val="00F635A1"/>
    <w:rsid w:val="00F646CE"/>
    <w:rsid w:val="00F6475C"/>
    <w:rsid w:val="00F7027E"/>
    <w:rsid w:val="00F7639F"/>
    <w:rsid w:val="00F80E5E"/>
    <w:rsid w:val="00F819F7"/>
    <w:rsid w:val="00F8668C"/>
    <w:rsid w:val="00F874E1"/>
    <w:rsid w:val="00F91889"/>
    <w:rsid w:val="00FA345D"/>
    <w:rsid w:val="00FB79D9"/>
    <w:rsid w:val="00FC7A60"/>
    <w:rsid w:val="00FD0CDF"/>
    <w:rsid w:val="00FD1941"/>
    <w:rsid w:val="00FD2ADE"/>
    <w:rsid w:val="00FD39C8"/>
    <w:rsid w:val="00FE7BFC"/>
    <w:rsid w:val="00FF6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FEA2"/>
  <w15:chartTrackingRefBased/>
  <w15:docId w15:val="{5A0946D0-397D-4D37-A5A2-CDA974BE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D9C"/>
  </w:style>
  <w:style w:type="paragraph" w:styleId="Heading1">
    <w:name w:val="heading 1"/>
    <w:basedOn w:val="Normal"/>
    <w:next w:val="Normal"/>
    <w:link w:val="Heading1Char"/>
    <w:uiPriority w:val="9"/>
    <w:qFormat/>
    <w:rsid w:val="002C3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9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C3D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D9C"/>
    <w:rPr>
      <w:sz w:val="20"/>
      <w:szCs w:val="20"/>
    </w:rPr>
  </w:style>
  <w:style w:type="character" w:styleId="FootnoteReference">
    <w:name w:val="footnote reference"/>
    <w:basedOn w:val="DefaultParagraphFont"/>
    <w:uiPriority w:val="99"/>
    <w:semiHidden/>
    <w:unhideWhenUsed/>
    <w:rsid w:val="002C3D9C"/>
    <w:rPr>
      <w:vertAlign w:val="superscript"/>
    </w:rPr>
  </w:style>
  <w:style w:type="paragraph" w:styleId="ListParagraph">
    <w:name w:val="List Paragraph"/>
    <w:basedOn w:val="Normal"/>
    <w:uiPriority w:val="34"/>
    <w:qFormat/>
    <w:rsid w:val="002C3D9C"/>
    <w:pPr>
      <w:ind w:left="720"/>
      <w:contextualSpacing/>
    </w:pPr>
  </w:style>
  <w:style w:type="character" w:styleId="CommentReference">
    <w:name w:val="annotation reference"/>
    <w:basedOn w:val="DefaultParagraphFont"/>
    <w:uiPriority w:val="99"/>
    <w:semiHidden/>
    <w:unhideWhenUsed/>
    <w:rsid w:val="002C3D9C"/>
    <w:rPr>
      <w:sz w:val="16"/>
      <w:szCs w:val="16"/>
    </w:rPr>
  </w:style>
  <w:style w:type="paragraph" w:styleId="CommentText">
    <w:name w:val="annotation text"/>
    <w:basedOn w:val="Normal"/>
    <w:link w:val="CommentTextChar"/>
    <w:uiPriority w:val="99"/>
    <w:unhideWhenUsed/>
    <w:rsid w:val="002C3D9C"/>
    <w:pPr>
      <w:spacing w:line="240" w:lineRule="auto"/>
    </w:pPr>
    <w:rPr>
      <w:sz w:val="20"/>
      <w:szCs w:val="20"/>
    </w:rPr>
  </w:style>
  <w:style w:type="character" w:customStyle="1" w:styleId="CommentTextChar">
    <w:name w:val="Comment Text Char"/>
    <w:basedOn w:val="DefaultParagraphFont"/>
    <w:link w:val="CommentText"/>
    <w:uiPriority w:val="99"/>
    <w:rsid w:val="002C3D9C"/>
    <w:rPr>
      <w:sz w:val="20"/>
      <w:szCs w:val="20"/>
    </w:rPr>
  </w:style>
  <w:style w:type="paragraph" w:styleId="Caption">
    <w:name w:val="caption"/>
    <w:basedOn w:val="Normal"/>
    <w:next w:val="Normal"/>
    <w:uiPriority w:val="35"/>
    <w:unhideWhenUsed/>
    <w:qFormat/>
    <w:rsid w:val="002C3D9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C3D9C"/>
    <w:pPr>
      <w:spacing w:after="240" w:line="240" w:lineRule="auto"/>
    </w:pPr>
  </w:style>
  <w:style w:type="paragraph" w:styleId="CommentSubject">
    <w:name w:val="annotation subject"/>
    <w:basedOn w:val="CommentText"/>
    <w:next w:val="CommentText"/>
    <w:link w:val="CommentSubjectChar"/>
    <w:uiPriority w:val="99"/>
    <w:semiHidden/>
    <w:unhideWhenUsed/>
    <w:rsid w:val="00BC44A7"/>
    <w:rPr>
      <w:b/>
      <w:bCs/>
    </w:rPr>
  </w:style>
  <w:style w:type="character" w:customStyle="1" w:styleId="CommentSubjectChar">
    <w:name w:val="Comment Subject Char"/>
    <w:basedOn w:val="CommentTextChar"/>
    <w:link w:val="CommentSubject"/>
    <w:uiPriority w:val="99"/>
    <w:semiHidden/>
    <w:rsid w:val="00BC44A7"/>
    <w:rPr>
      <w:b/>
      <w:bCs/>
      <w:sz w:val="20"/>
      <w:szCs w:val="20"/>
    </w:rPr>
  </w:style>
  <w:style w:type="paragraph" w:styleId="Title">
    <w:name w:val="Title"/>
    <w:basedOn w:val="Normal"/>
    <w:next w:val="Normal"/>
    <w:link w:val="TitleChar"/>
    <w:uiPriority w:val="10"/>
    <w:qFormat/>
    <w:rsid w:val="003B1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A31"/>
    <w:rPr>
      <w:rFonts w:asciiTheme="majorHAnsi" w:eastAsiaTheme="majorEastAsia" w:hAnsiTheme="majorHAnsi" w:cstheme="majorBidi"/>
      <w:spacing w:val="-10"/>
      <w:kern w:val="28"/>
      <w:sz w:val="56"/>
      <w:szCs w:val="56"/>
    </w:rPr>
  </w:style>
  <w:style w:type="paragraph" w:styleId="Revision">
    <w:name w:val="Revision"/>
    <w:hidden/>
    <w:uiPriority w:val="99"/>
    <w:semiHidden/>
    <w:rsid w:val="00BC77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F946-0455-4655-AC55-5B9FF6B6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10</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Xandru Cassar</dc:creator>
  <cp:keywords/>
  <dc:description/>
  <cp:lastModifiedBy>Xandru Cassar</cp:lastModifiedBy>
  <cp:revision>483</cp:revision>
  <dcterms:created xsi:type="dcterms:W3CDTF">2022-10-22T10:49:00Z</dcterms:created>
  <dcterms:modified xsi:type="dcterms:W3CDTF">2022-11-19T12:05:00Z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id="DtGnbW3h"/&gt;&lt;style id="http://www.zotero.org/styles/harvard-cite-them-right" hasBibliography="1" bibliographyStyleHasBeenSet="1"/&gt;&lt;prefs&gt;&lt;pref name="fieldType" value="Field"/&gt;&lt;/prefs&gt;&lt;/data&gt;</vt:lpwstr>
  </property>
</Properties>
</file>