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090303 Прикладная информатика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Прикладная информатика в информационной сфере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2022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Коллективная разработка информационных систем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Специальная медицинская группа</w:t>
              <w:br/>
              <w:t>Общая физическая подготовка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проявления коррупции, экстремизма и терроризма как угрозу конституционным правам человека и развитию государства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и общеинженерные знания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Численные методы</w:t>
              <w:br/>
              <w:t>Графы и конечные автоматы</w:t>
              <w:br/>
              <w:t>Математическая логика и теория алгоритмов</w:t>
              <w:br/>
              <w:t>Финансовая математика</w:t>
              <w:br/>
              <w:t>Основы математического моделирования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Разработка пользовательского интерфейса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на их основе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информационных систем и технологий,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Информационные системы и 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Применяет знания и методы теории систем и системного анализа для разработки организационно-технических и экономических процессов в информационной сфере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систем и системный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разрабатывать алгоритмы и программы, пригодные для практического применения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выполнять анализ и разрабатывать стуктуры данных, алгоритмы и программы, пригодные для практического применения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Владеет знаниями технологий создания и внедрения информационных систем, стандартами управления жизненным циклом информационной системы, организует обеспечение выполнения работ на всех стадиях и в процессах жизненного цикла информационной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ОПК-9.1 Осуществляет взаимодействие с заказчиком в процессе реализации проекта, участвует в командообразовании персонала - участников проекта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проектами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проводить обследование организаций, выявлять информационные потребности пользователей, формировать требования к программному обеспечению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Проводит стратегическое планирование технологического развития, эффективную реализацию IT-проектов, подбор, создание и внедрение средств автоматизации производственных процессов; анализирует удовлетворенность потребностей пользователей; реализует ИТ-стратегии компании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Корпоративные информационные системы</w:t>
              <w:br/>
              <w:t>Методы исследования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интеллектуальных систем и технологий при разработке требований и выполнении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Способен применять знания и методы обследования организаций и анализа экономических данных для формулирования требований при проектировании цифровых платформ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цифровой экономики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Использует знания и методы технологий платформы 1С в процессе всех уровней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Применяет знания архитектур информационных систем в процессе выполнения концептуального, функционального и логического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Использует знания и методы серверных интернет-технологий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ПК-2.4 Использует знания и методы Java-технологий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ПК-2.5 Использует знания и технологии Web-программирования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Web-программирования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ПК-2.6 Проектирует программные средства в прикладных областях с использованием международных и отечественных стандартов, регулирующих основные процессы жизненного цикла и определяющих требования к конечному продукту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 и информационных технологий</w:t>
              <w:br/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моделировать прикладные бизнес-процессы и предметную область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Использует знания и технологии программирования и информатики в процессе моделирования бизнес-процессов информационной сферы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Высокоуровневые методы информатики и программирования</w:t>
              <w:br/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Использует знания, методы программной инженерии в процессе моделирования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Программная инженерия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Применяет знания моделирования при разработке информационных систем, бизнес-процессов и процессов обработки информации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Использует знания и методы интелектуальных технологий в процессе моделирования предметной области и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