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2021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Коллективная разработка информационных систем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информационных систем и технологий,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Спецкурс для объектов профессиональной деятельности</w:t>
              <w:br/>
              <w:t>Методы исследования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интеллектуальных систем и технологий при разработке требований и выполнении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