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2019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Персональный имидж и карьерный менеджмент</w:t>
              <w:br/>
              <w:t>Коллективная разработка информационных систем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</w:t>
              <w:br/>
              <w:t>Учебно-рекреационный модуль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Информационно-образовательная среда вуза для лиц с ОВЗ</w:t>
              <w:br/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 и защита информации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Вычислительные системы, сети и телекоммуникации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Спецкурс для объектов профессиональной деятельности</w:t>
              <w:br/>
              <w:t>Методы исследования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применять знания и методы обследования организаций и анализа экономических данных для формулирования требований при проектировании цифровых платформ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Лучшие зарубежные профессиональные практики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ПК-2.7 Использует знания и методы клиентских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Клиентские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