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177"/>
      </w:tblGrid>
      <w:tr w:rsidR="005824D6" w14:paraId="58F0D0B5" w14:textId="77777777" w:rsidTr="005824D6">
        <w:tc>
          <w:tcPr>
            <w:tcW w:w="9062" w:type="dxa"/>
            <w:gridSpan w:val="2"/>
            <w:shd w:val="clear" w:color="auto" w:fill="FFD966" w:themeFill="accent4" w:themeFillTint="99"/>
          </w:tcPr>
          <w:p w14:paraId="4E777C85" w14:textId="77777777" w:rsidR="005824D6" w:rsidRDefault="005824D6" w:rsidP="005824D6">
            <w:r>
              <w:t xml:space="preserve">Child </w:t>
            </w:r>
            <w:proofErr w:type="spellStart"/>
            <w:r>
              <w:t>protection</w:t>
            </w:r>
            <w:proofErr w:type="spellEnd"/>
          </w:p>
        </w:tc>
      </w:tr>
      <w:tr w:rsidR="005824D6" w:rsidRPr="00AD10E4" w14:paraId="7658DA39" w14:textId="77777777" w:rsidTr="005824D6">
        <w:tc>
          <w:tcPr>
            <w:tcW w:w="1885" w:type="dxa"/>
            <w:vMerge w:val="restart"/>
          </w:tcPr>
          <w:p w14:paraId="29839A27" w14:textId="77777777" w:rsidR="005824D6" w:rsidRDefault="005824D6">
            <w:r>
              <w:t>Primary</w:t>
            </w:r>
          </w:p>
        </w:tc>
        <w:tc>
          <w:tcPr>
            <w:tcW w:w="7177" w:type="dxa"/>
          </w:tcPr>
          <w:p w14:paraId="38BDA14F" w14:textId="77777777" w:rsidR="005824D6" w:rsidRPr="005824D6" w:rsidRDefault="005824D6" w:rsidP="005824D6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What is the recommended initial approach for a child who appears unstable at the primary care level?</w:t>
            </w:r>
          </w:p>
          <w:p w14:paraId="5DE2370D" w14:textId="77777777" w:rsidR="005824D6" w:rsidRPr="005824D6" w:rsidRDefault="005824D6" w:rsidP="005824D6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Conduct a full physical examination before referral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Begin the ABCDE assessment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Give oral medication and observe for 24 hours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Start IV fluids immediately without assessment</w:t>
            </w:r>
          </w:p>
          <w:p w14:paraId="4A66E861" w14:textId="77777777" w:rsidR="005824D6" w:rsidRPr="005824D6" w:rsidRDefault="005824D6" w:rsidP="005824D6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824D6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5824D6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B. Begin the ABCDE assessment</w:t>
            </w:r>
          </w:p>
          <w:p w14:paraId="68EDB856" w14:textId="77777777" w:rsidR="005824D6" w:rsidRPr="005824D6" w:rsidRDefault="005824D6" w:rsidP="005824D6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The ABCDE approach (Airway, Breathing, Circulation, Disability, Exposure) is used for rapid assessment and stabilization of critically ill patients.</w:t>
            </w:r>
          </w:p>
          <w:p w14:paraId="02C5B90D" w14:textId="77777777" w:rsidR="005824D6" w:rsidRPr="005824D6" w:rsidRDefault="005824D6">
            <w:pPr>
              <w:rPr>
                <w:lang w:val="en-US"/>
              </w:rPr>
            </w:pPr>
          </w:p>
        </w:tc>
      </w:tr>
      <w:tr w:rsidR="005824D6" w:rsidRPr="00AD10E4" w14:paraId="307BC3C2" w14:textId="77777777" w:rsidTr="005824D6">
        <w:tc>
          <w:tcPr>
            <w:tcW w:w="1885" w:type="dxa"/>
            <w:vMerge/>
          </w:tcPr>
          <w:p w14:paraId="49B8A6E2" w14:textId="77777777" w:rsidR="005824D6" w:rsidRPr="005824D6" w:rsidRDefault="005824D6">
            <w:pPr>
              <w:rPr>
                <w:lang w:val="en-US"/>
              </w:rPr>
            </w:pPr>
          </w:p>
        </w:tc>
        <w:tc>
          <w:tcPr>
            <w:tcW w:w="7177" w:type="dxa"/>
          </w:tcPr>
          <w:p w14:paraId="4BE70557" w14:textId="77777777" w:rsidR="005824D6" w:rsidRPr="005824D6" w:rsidRDefault="005824D6" w:rsidP="005824D6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 xml:space="preserve">What should a primary care provider do </w:t>
            </w:r>
            <w:r w:rsidRPr="005824D6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after taking a brief history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from a child suspected of having a serious condition?</w:t>
            </w:r>
          </w:p>
          <w:p w14:paraId="78C4C141" w14:textId="77777777" w:rsidR="005824D6" w:rsidRPr="005824D6" w:rsidRDefault="005824D6" w:rsidP="005824D6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Perform a full clinical examination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Start treatment and schedule follow-up in one week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Refer the patient immediately without examination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Wait for laboratory results before making any referral</w:t>
            </w:r>
          </w:p>
          <w:p w14:paraId="2F36D4F9" w14:textId="77777777" w:rsidR="005824D6" w:rsidRPr="005824D6" w:rsidRDefault="005824D6" w:rsidP="005824D6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824D6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5824D6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C. Refer the patient immediately without examination</w:t>
            </w:r>
          </w:p>
          <w:p w14:paraId="65951FC2" w14:textId="77777777" w:rsidR="005824D6" w:rsidRPr="005824D6" w:rsidRDefault="005824D6" w:rsidP="005824D6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According to the guideline: </w:t>
            </w:r>
            <w:r w:rsidRPr="005824D6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DO NOT EXAMINE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the patient at the primary level—refer immediately after a brief history if instability is suspected.</w:t>
            </w:r>
          </w:p>
          <w:p w14:paraId="24F0445F" w14:textId="77777777" w:rsidR="005824D6" w:rsidRPr="005824D6" w:rsidRDefault="005824D6">
            <w:pPr>
              <w:rPr>
                <w:lang w:val="en-US"/>
              </w:rPr>
            </w:pPr>
          </w:p>
        </w:tc>
      </w:tr>
      <w:tr w:rsidR="004F789F" w:rsidRPr="00AD10E4" w14:paraId="51261B8E" w14:textId="77777777" w:rsidTr="005824D6">
        <w:tc>
          <w:tcPr>
            <w:tcW w:w="1885" w:type="dxa"/>
            <w:vMerge w:val="restart"/>
          </w:tcPr>
          <w:p w14:paraId="1711BBC0" w14:textId="77777777" w:rsidR="004F789F" w:rsidRDefault="004F789F">
            <w:proofErr w:type="spellStart"/>
            <w:r>
              <w:t>Secondary</w:t>
            </w:r>
            <w:proofErr w:type="spellEnd"/>
            <w:r>
              <w:t xml:space="preserve"> &amp; </w:t>
            </w:r>
            <w:proofErr w:type="spellStart"/>
            <w:r>
              <w:t>Tertiary</w:t>
            </w:r>
            <w:proofErr w:type="spellEnd"/>
          </w:p>
        </w:tc>
        <w:tc>
          <w:tcPr>
            <w:tcW w:w="7177" w:type="dxa"/>
          </w:tcPr>
          <w:p w14:paraId="1E5C7929" w14:textId="77777777" w:rsidR="004F789F" w:rsidRPr="005824D6" w:rsidRDefault="004F789F" w:rsidP="005824D6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When is a child eligible to receive PEP (Post-Exposure Prophylaxis) following suspected sexual abuse?</w:t>
            </w:r>
          </w:p>
          <w:p w14:paraId="5CA0ED83" w14:textId="77777777" w:rsidR="004F789F" w:rsidRPr="004F789F" w:rsidRDefault="004F789F" w:rsidP="004F789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4F789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When the child is HIV-negative and presents within 72 hours, regardless of the assailant’s HIV status</w:t>
            </w:r>
            <w:r w:rsidRPr="004F789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When the child presents more than 72 hours after the incident and the assailant is HIV-positive</w:t>
            </w:r>
            <w:r w:rsidRPr="004F789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When the child is HIV-negative and the assailant has a known positive HIV status</w:t>
            </w:r>
            <w:r w:rsidRPr="004F789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When the child is under 10 years old and the caregiver agrees to HIV testing</w:t>
            </w:r>
          </w:p>
          <w:p w14:paraId="24C4AFB4" w14:textId="77777777" w:rsidR="004F789F" w:rsidRPr="004F789F" w:rsidRDefault="004F789F" w:rsidP="004F789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4F789F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4F789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4F789F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A. When the child is HIV-negative and presents within 72 hours, regardless of the assailant’s HIV status</w:t>
            </w:r>
          </w:p>
          <w:p w14:paraId="2895628F" w14:textId="77777777" w:rsidR="004F789F" w:rsidRPr="004F789F" w:rsidRDefault="004F789F" w:rsidP="004F789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4F789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PEP should be given </w:t>
            </w:r>
            <w:r w:rsidRPr="004F789F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if the child is HIV-negative and presents within 72 hours</w:t>
            </w:r>
            <w:r w:rsidRPr="004F789F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, regardless of the assailant’s test result, due to the possibility of window-period transmission.</w:t>
            </w:r>
          </w:p>
          <w:p w14:paraId="05F2DD72" w14:textId="77777777" w:rsidR="004F789F" w:rsidRPr="005824D6" w:rsidRDefault="004F789F" w:rsidP="005824D6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4F789F" w:rsidRPr="005824D6" w14:paraId="07FCDB71" w14:textId="77777777" w:rsidTr="005824D6">
        <w:tc>
          <w:tcPr>
            <w:tcW w:w="1885" w:type="dxa"/>
            <w:vMerge/>
          </w:tcPr>
          <w:p w14:paraId="3DFBF8D1" w14:textId="77777777" w:rsidR="004F789F" w:rsidRPr="005824D6" w:rsidRDefault="004F789F">
            <w:pPr>
              <w:rPr>
                <w:lang w:val="en-US"/>
              </w:rPr>
            </w:pPr>
          </w:p>
        </w:tc>
        <w:tc>
          <w:tcPr>
            <w:tcW w:w="7177" w:type="dxa"/>
          </w:tcPr>
          <w:p w14:paraId="068548CA" w14:textId="77777777" w:rsidR="004F789F" w:rsidRPr="005824D6" w:rsidRDefault="004F789F" w:rsidP="005824D6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What is the correct timing for giving PEP in a child suspected of sexual abuse?</w:t>
            </w:r>
          </w:p>
          <w:p w14:paraId="42461F36" w14:textId="77777777" w:rsidR="004F789F" w:rsidRPr="005824D6" w:rsidRDefault="004F789F" w:rsidP="005824D6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After HIV test results are reviewed by a consultant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Only after police consent is obtained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Immediately—HIV test and PEP should be given at the same visit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Within 7 days of the incident</w:t>
            </w:r>
          </w:p>
          <w:p w14:paraId="17282C71" w14:textId="77777777" w:rsidR="004F789F" w:rsidRPr="005824D6" w:rsidRDefault="004F789F" w:rsidP="005824D6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824D6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5824D6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C. Immediately—HIV test and PEP should be given at the same visit</w:t>
            </w:r>
          </w:p>
          <w:p w14:paraId="7B3DAC03" w14:textId="77777777" w:rsidR="004F789F" w:rsidRPr="005824D6" w:rsidRDefault="004F789F" w:rsidP="005824D6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The guideline is clear: </w:t>
            </w:r>
            <w:r w:rsidRPr="005824D6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do not delay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 Test and treat during the same clinical encounter.</w:t>
            </w:r>
          </w:p>
        </w:tc>
      </w:tr>
      <w:tr w:rsidR="004F789F" w:rsidRPr="005824D6" w14:paraId="236F6DA4" w14:textId="77777777" w:rsidTr="005824D6">
        <w:tc>
          <w:tcPr>
            <w:tcW w:w="1885" w:type="dxa"/>
            <w:vMerge/>
          </w:tcPr>
          <w:p w14:paraId="0A7B2431" w14:textId="77777777" w:rsidR="004F789F" w:rsidRPr="005824D6" w:rsidRDefault="004F789F">
            <w:pPr>
              <w:rPr>
                <w:lang w:val="en-US"/>
              </w:rPr>
            </w:pPr>
          </w:p>
        </w:tc>
        <w:tc>
          <w:tcPr>
            <w:tcW w:w="7177" w:type="dxa"/>
          </w:tcPr>
          <w:p w14:paraId="312830BC" w14:textId="77777777" w:rsidR="004F789F" w:rsidRPr="005824D6" w:rsidRDefault="004F789F" w:rsidP="005824D6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Which of the following is the correct approach to documenting a medical report for suspected abuse?</w:t>
            </w:r>
          </w:p>
          <w:p w14:paraId="6DE27A54" w14:textId="77777777" w:rsidR="004F789F" w:rsidRPr="005824D6" w:rsidRDefault="004F789F" w:rsidP="005824D6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Use only your own interpretation of the child’s statements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Avoid sketches and focus on brief text notes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Write legibly, summarize physical findings in detail, and use direct quotations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Only record the final diagnosis and treatment given</w:t>
            </w:r>
          </w:p>
          <w:p w14:paraId="247BE725" w14:textId="77777777" w:rsidR="004F789F" w:rsidRPr="005824D6" w:rsidRDefault="004F789F" w:rsidP="005824D6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824D6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5824D6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C. Write legibly, summarize physical findings in detail, and use direct quotations</w:t>
            </w:r>
          </w:p>
          <w:p w14:paraId="405F4F3B" w14:textId="77777777" w:rsidR="004F789F" w:rsidRPr="005824D6" w:rsidRDefault="004F789F" w:rsidP="005824D6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Documentation may serve as evidence. The report must be factual, legible, and include verbatim quotes and clear injury descriptions.</w:t>
            </w:r>
          </w:p>
        </w:tc>
      </w:tr>
      <w:tr w:rsidR="004F789F" w:rsidRPr="005824D6" w14:paraId="0AF2F048" w14:textId="77777777" w:rsidTr="005824D6">
        <w:tc>
          <w:tcPr>
            <w:tcW w:w="1885" w:type="dxa"/>
            <w:vMerge/>
          </w:tcPr>
          <w:p w14:paraId="04CDF2F1" w14:textId="77777777" w:rsidR="004F789F" w:rsidRPr="005824D6" w:rsidRDefault="004F789F">
            <w:pPr>
              <w:rPr>
                <w:lang w:val="en-US"/>
              </w:rPr>
            </w:pPr>
          </w:p>
        </w:tc>
        <w:tc>
          <w:tcPr>
            <w:tcW w:w="7177" w:type="dxa"/>
          </w:tcPr>
          <w:p w14:paraId="6BEDAA2A" w14:textId="77777777" w:rsidR="004F789F" w:rsidRPr="005824D6" w:rsidRDefault="004F789F" w:rsidP="005824D6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Which of the following is part of the antibiotic regimen to prevent or treat STIs in a child after sexual abuse?</w:t>
            </w:r>
          </w:p>
          <w:p w14:paraId="17A60A51" w14:textId="77777777" w:rsidR="004F789F" w:rsidRPr="005824D6" w:rsidRDefault="004F789F" w:rsidP="005824D6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Only oral amoxicillin for 5 days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Metronidazole, Erythromycin/Azithromycin, Gentamicin, and Benzathine Penicillin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Ceft</w:t>
            </w: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riaxone and oral doxycycline 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Azithromycin as a single drug therapy</w:t>
            </w:r>
          </w:p>
          <w:p w14:paraId="57E67F0B" w14:textId="77777777" w:rsidR="004F789F" w:rsidRPr="005824D6" w:rsidRDefault="004F789F" w:rsidP="005824D6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824D6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5824D6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B. Metronidazole, Erythromycin/Azithromycin, Gentamicin, and Benzathine Penicillin</w:t>
            </w:r>
          </w:p>
          <w:p w14:paraId="40A4BCFC" w14:textId="77777777" w:rsidR="004F789F" w:rsidRPr="005824D6" w:rsidRDefault="004F789F" w:rsidP="005824D6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The guideline outlines a multi-drug regimen to cover a range of pathogens.</w:t>
            </w:r>
          </w:p>
        </w:tc>
      </w:tr>
      <w:tr w:rsidR="004F789F" w:rsidRPr="005824D6" w14:paraId="7B106820" w14:textId="77777777" w:rsidTr="005824D6">
        <w:tc>
          <w:tcPr>
            <w:tcW w:w="1885" w:type="dxa"/>
            <w:vMerge/>
          </w:tcPr>
          <w:p w14:paraId="24F8C0BE" w14:textId="77777777" w:rsidR="004F789F" w:rsidRPr="005824D6" w:rsidRDefault="004F789F">
            <w:pPr>
              <w:rPr>
                <w:lang w:val="en-US"/>
              </w:rPr>
            </w:pPr>
          </w:p>
        </w:tc>
        <w:tc>
          <w:tcPr>
            <w:tcW w:w="7177" w:type="dxa"/>
          </w:tcPr>
          <w:p w14:paraId="7606F08B" w14:textId="77777777" w:rsidR="004F789F" w:rsidRPr="005824D6" w:rsidRDefault="004F789F" w:rsidP="005824D6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What is an essential action to take alongside medical treatment for suspected abuse?</w:t>
            </w:r>
          </w:p>
          <w:p w14:paraId="0346F531" w14:textId="77777777" w:rsidR="004F789F" w:rsidRPr="005824D6" w:rsidRDefault="004F789F" w:rsidP="005824D6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Discharge the child immediately after stabilizing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Keep the case confidential and avoid involving authorities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Inform and involve social workers and police as early as possible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Wait until follow-up to notify any non-medical services</w:t>
            </w:r>
          </w:p>
          <w:p w14:paraId="54391378" w14:textId="77777777" w:rsidR="004F789F" w:rsidRPr="005824D6" w:rsidRDefault="004F789F" w:rsidP="005824D6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824D6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Correct Answer: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5824D6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C. Inform and involve social workers and police as early as possible</w:t>
            </w:r>
          </w:p>
          <w:p w14:paraId="2CACC50E" w14:textId="77777777" w:rsidR="004F789F" w:rsidRPr="005824D6" w:rsidRDefault="004F789F" w:rsidP="005824D6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Early involvement of social and legal authorities is a critical part of the response.</w:t>
            </w:r>
          </w:p>
        </w:tc>
      </w:tr>
      <w:tr w:rsidR="004F789F" w:rsidRPr="005824D6" w14:paraId="294FD875" w14:textId="77777777" w:rsidTr="005824D6">
        <w:tc>
          <w:tcPr>
            <w:tcW w:w="1885" w:type="dxa"/>
            <w:vMerge/>
          </w:tcPr>
          <w:p w14:paraId="3F777CC0" w14:textId="77777777" w:rsidR="004F789F" w:rsidRPr="005824D6" w:rsidRDefault="004F789F">
            <w:pPr>
              <w:rPr>
                <w:lang w:val="en-US"/>
              </w:rPr>
            </w:pPr>
          </w:p>
        </w:tc>
        <w:tc>
          <w:tcPr>
            <w:tcW w:w="7177" w:type="dxa"/>
          </w:tcPr>
          <w:p w14:paraId="65F9A598" w14:textId="77777777" w:rsidR="004F789F" w:rsidRPr="005824D6" w:rsidRDefault="004F789F" w:rsidP="005824D6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According to the guideline, which antiretroviral regimens are recommended for PEP in children following suspected sexual abuse?</w:t>
            </w:r>
          </w:p>
          <w:p w14:paraId="35529BE0" w14:textId="77777777" w:rsidR="004F789F" w:rsidRPr="005824D6" w:rsidRDefault="004F789F" w:rsidP="005824D6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Zidovudine and Nevirapine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ABC/3TC + DTG or TDF/3TC/DTG based on the child's body weight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Tenofovir only, regardless of weight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DTG monotherapy to reduce pill burden</w:t>
            </w:r>
          </w:p>
          <w:p w14:paraId="3D32AA2E" w14:textId="77777777" w:rsidR="004F789F" w:rsidRPr="005824D6" w:rsidRDefault="004F789F" w:rsidP="005824D6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5824D6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Correct Answer: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5824D6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B. ABC/3TC + DTG or TDF/3TC/DTG based on the child's body weight</w:t>
            </w:r>
          </w:p>
          <w:p w14:paraId="5BB77D54" w14:textId="77777777" w:rsidR="004F789F" w:rsidRPr="005824D6" w:rsidRDefault="004F789F" w:rsidP="005824D6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Children should receive </w:t>
            </w:r>
            <w:r w:rsidRPr="005824D6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ABC/3TC + DTG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or </w:t>
            </w:r>
            <w:r w:rsidRPr="005824D6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TDF/3TC/DTG</w:t>
            </w:r>
            <w:r w:rsidRPr="005824D6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depending on weight (TDF combo is typically for children over 30 kg). </w:t>
            </w:r>
            <w:r w:rsidRPr="005824D6">
              <w:rPr>
                <w:rFonts w:asciiTheme="minorHAnsi" w:hAnsiTheme="minorHAnsi" w:cstheme="minorHAnsi"/>
                <w:sz w:val="22"/>
                <w:szCs w:val="22"/>
              </w:rPr>
              <w:t xml:space="preserve">The </w:t>
            </w:r>
            <w:proofErr w:type="spellStart"/>
            <w:r w:rsidRPr="005824D6">
              <w:rPr>
                <w:rFonts w:asciiTheme="minorHAnsi" w:hAnsiTheme="minorHAnsi" w:cstheme="minorHAnsi"/>
                <w:sz w:val="22"/>
                <w:szCs w:val="22"/>
              </w:rPr>
              <w:t>regimen</w:t>
            </w:r>
            <w:proofErr w:type="spellEnd"/>
            <w:r w:rsidRPr="005824D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824D6">
              <w:rPr>
                <w:rFonts w:asciiTheme="minorHAnsi" w:hAnsiTheme="minorHAnsi" w:cstheme="minorHAnsi"/>
                <w:sz w:val="22"/>
                <w:szCs w:val="22"/>
              </w:rPr>
              <w:t>must</w:t>
            </w:r>
            <w:proofErr w:type="spellEnd"/>
            <w:r w:rsidRPr="005824D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824D6">
              <w:rPr>
                <w:rFonts w:asciiTheme="minorHAnsi" w:hAnsiTheme="minorHAnsi" w:cstheme="minorHAnsi"/>
                <w:sz w:val="22"/>
                <w:szCs w:val="22"/>
              </w:rPr>
              <w:t>start</w:t>
            </w:r>
            <w:proofErr w:type="spellEnd"/>
            <w:r w:rsidRPr="005824D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824D6">
              <w:rPr>
                <w:rFonts w:asciiTheme="minorHAnsi" w:hAnsiTheme="minorHAnsi" w:cstheme="minorHAnsi"/>
                <w:sz w:val="22"/>
                <w:szCs w:val="22"/>
              </w:rPr>
              <w:t>immediately</w:t>
            </w:r>
            <w:proofErr w:type="spellEnd"/>
            <w:r w:rsidRPr="005824D6">
              <w:rPr>
                <w:rFonts w:asciiTheme="minorHAnsi" w:hAnsiTheme="minorHAnsi" w:cstheme="minorHAnsi"/>
                <w:sz w:val="22"/>
                <w:szCs w:val="22"/>
              </w:rPr>
              <w:t xml:space="preserve"> and </w:t>
            </w:r>
            <w:proofErr w:type="spellStart"/>
            <w:r w:rsidRPr="005824D6">
              <w:rPr>
                <w:rFonts w:asciiTheme="minorHAnsi" w:hAnsiTheme="minorHAnsi" w:cstheme="minorHAnsi"/>
                <w:sz w:val="22"/>
                <w:szCs w:val="22"/>
              </w:rPr>
              <w:t>continue</w:t>
            </w:r>
            <w:proofErr w:type="spellEnd"/>
            <w:r w:rsidRPr="005824D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5824D6">
              <w:rPr>
                <w:rFonts w:asciiTheme="minorHAnsi" w:hAnsiTheme="minorHAnsi" w:cstheme="minorHAnsi"/>
                <w:sz w:val="22"/>
                <w:szCs w:val="22"/>
              </w:rPr>
              <w:t>for</w:t>
            </w:r>
            <w:proofErr w:type="spellEnd"/>
            <w:r w:rsidRPr="005824D6">
              <w:rPr>
                <w:rFonts w:asciiTheme="minorHAnsi" w:hAnsiTheme="minorHAnsi" w:cstheme="minorHAnsi"/>
                <w:sz w:val="22"/>
                <w:szCs w:val="22"/>
              </w:rPr>
              <w:t xml:space="preserve"> 30 </w:t>
            </w:r>
            <w:proofErr w:type="spellStart"/>
            <w:r w:rsidRPr="005824D6">
              <w:rPr>
                <w:rFonts w:asciiTheme="minorHAnsi" w:hAnsiTheme="minorHAnsi" w:cstheme="minorHAnsi"/>
                <w:sz w:val="22"/>
                <w:szCs w:val="22"/>
              </w:rPr>
              <w:t>days</w:t>
            </w:r>
            <w:proofErr w:type="spellEnd"/>
            <w:r w:rsidRPr="005824D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</w:tbl>
    <w:p w14:paraId="772FCB48" w14:textId="77777777" w:rsidR="003D3F8C" w:rsidRPr="005824D6" w:rsidRDefault="003D3F8C">
      <w:pPr>
        <w:rPr>
          <w:lang w:val="en-US"/>
        </w:rPr>
      </w:pPr>
    </w:p>
    <w:sectPr w:rsidR="003D3F8C" w:rsidRPr="005824D6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543E3" w14:textId="77777777" w:rsidR="005F1126" w:rsidRDefault="005F1126" w:rsidP="005824D6">
      <w:pPr>
        <w:spacing w:after="0" w:line="240" w:lineRule="auto"/>
      </w:pPr>
      <w:r>
        <w:separator/>
      </w:r>
    </w:p>
  </w:endnote>
  <w:endnote w:type="continuationSeparator" w:id="0">
    <w:p w14:paraId="03726AF5" w14:textId="77777777" w:rsidR="005F1126" w:rsidRDefault="005F1126" w:rsidP="00582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B780F" w14:textId="77777777" w:rsidR="005F1126" w:rsidRDefault="005F1126" w:rsidP="005824D6">
      <w:pPr>
        <w:spacing w:after="0" w:line="240" w:lineRule="auto"/>
      </w:pPr>
      <w:r>
        <w:separator/>
      </w:r>
    </w:p>
  </w:footnote>
  <w:footnote w:type="continuationSeparator" w:id="0">
    <w:p w14:paraId="3056B2EA" w14:textId="77777777" w:rsidR="005F1126" w:rsidRDefault="005F1126" w:rsidP="005824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1117E" w14:textId="77777777" w:rsidR="005824D6" w:rsidRPr="005824D6" w:rsidRDefault="005824D6">
    <w:pPr>
      <w:pStyle w:val="Header"/>
      <w:rPr>
        <w:sz w:val="28"/>
        <w:szCs w:val="28"/>
      </w:rPr>
    </w:pPr>
    <w:r w:rsidRPr="005824D6">
      <w:rPr>
        <w:sz w:val="28"/>
        <w:szCs w:val="28"/>
      </w:rPr>
      <w:t xml:space="preserve">Child </w:t>
    </w:r>
    <w:proofErr w:type="spellStart"/>
    <w:r w:rsidRPr="005824D6">
      <w:rPr>
        <w:sz w:val="28"/>
        <w:szCs w:val="28"/>
      </w:rPr>
      <w:t>Protection</w:t>
    </w:r>
    <w:proofErr w:type="spellEnd"/>
  </w:p>
  <w:p w14:paraId="7C68E370" w14:textId="77777777" w:rsidR="005824D6" w:rsidRDefault="005824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4D6"/>
    <w:rsid w:val="001C7CEE"/>
    <w:rsid w:val="003D3F8C"/>
    <w:rsid w:val="004F789F"/>
    <w:rsid w:val="005824D6"/>
    <w:rsid w:val="005F1126"/>
    <w:rsid w:val="00861F39"/>
    <w:rsid w:val="00AD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9DBF4E"/>
  <w15:chartTrackingRefBased/>
  <w15:docId w15:val="{E7FB3D0A-7792-4976-844C-8C8C10A0C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24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824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4D6"/>
  </w:style>
  <w:style w:type="paragraph" w:styleId="Footer">
    <w:name w:val="footer"/>
    <w:basedOn w:val="Normal"/>
    <w:link w:val="FooterChar"/>
    <w:uiPriority w:val="99"/>
    <w:unhideWhenUsed/>
    <w:rsid w:val="005824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4D6"/>
  </w:style>
  <w:style w:type="paragraph" w:styleId="NormalWeb">
    <w:name w:val="Normal (Web)"/>
    <w:basedOn w:val="Normal"/>
    <w:uiPriority w:val="99"/>
    <w:unhideWhenUsed/>
    <w:rsid w:val="005824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24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2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03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3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96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79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9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42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7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41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0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7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0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1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34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1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60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661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Universität Witten/Herdecke</Company>
  <LinksUpToDate>false</LinksUpToDate>
  <CharactersWithSpaces>4422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Nagase, Megumi</dc:creator>
  <cp:keywords/>
  <dc:description/>
  <cp:lastModifiedBy>Nagase, Megumi</cp:lastModifiedBy>
  <cp:revision>2</cp:revision>
  <dcterms:created xsi:type="dcterms:W3CDTF">2025-06-24T07:59:00Z</dcterms:created>
  <dcterms:modified xsi:type="dcterms:W3CDTF">2025-06-24T07:59:00Z</dcterms:modified>
</cp:coreProperties>
</file>