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各组织第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三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季度营业收入完成情况</w:t>
      </w:r>
    </w:p>
    <w:p>
      <w:pPr>
        <w:ind w:left="-1035" w:leftChars="-493" w:firstLine="1035" w:firstLineChars="4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8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ea_pie3_2024-04-03_01_38_1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-1039" w:leftChars="-495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8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apshot_2024-04-03_01_38_0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4"/>
        <w:tblW w:w="8288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349"/>
        <w:gridCol w:w="1612"/>
        <w:gridCol w:w="1383"/>
        <w:gridCol w:w="1211"/>
        <w:gridCol w:w="1577"/>
      </w:tblGrid>
      <w:tr>
        <w:trPr>
          <w:cantSplit/>
          <w:trHeight w:val="355" w:hRule="atLeast"/>
        </w:trPr>
        <w:tc>
          <w:tcPr>
            <w:tcW w:w="1156" w:type="dxa"/>
            <w:tcBorders>
              <w:top w:val="single" w:color="4874CB" w:sz="8" w:space="0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Style w:val="7"/>
                <w:lang w:val="en-US" w:eastAsia="zh-CN" w:bidi="ar"/>
              </w:rPr>
              <w:t>组织</w:t>
            </w:r>
          </w:p>
        </w:tc>
        <w:tc>
          <w:tcPr>
            <w:tcW w:w="1349" w:type="dxa"/>
            <w:tcBorders>
              <w:top w:val="single" w:color="4874CB" w:sz="8" w:space="0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Style w:val="7"/>
                <w:rFonts w:hint="eastAsia"/>
                <w:lang w:val="en-US" w:eastAsia="zh-CN" w:bidi="ar"/>
              </w:rPr>
              <w:t>第</w:t>
            </w:r>
            <w:r>
              <w:rPr>
                <w:rStyle w:val="7"/>
                <w:rFonts w:hint="default"/>
                <w:lang w:val="en-US" w:eastAsia="zh-CN" w:bidi="ar"/>
              </w:rPr>
              <w:t xml:space="preserve">三</w:t>
            </w:r>
            <w:r>
              <w:rPr>
                <w:rStyle w:val="7"/>
                <w:lang w:val="en-US" w:eastAsia="zh-CN" w:bidi="ar"/>
              </w:rPr>
              <w:t>季度营业收入（</w:t>
            </w:r>
            <w:r>
              <w:rPr>
                <w:rStyle w:val="7"/>
                <w:rFonts w:hint="eastAsia"/>
                <w:lang w:val="en-US" w:eastAsia="zh-CN" w:bidi="ar"/>
              </w:rPr>
              <w:t>万元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  <w:tc>
          <w:tcPr>
            <w:tcW w:w="1612" w:type="dxa"/>
            <w:tcBorders>
              <w:top w:val="single" w:color="4874CB" w:sz="8" w:space="0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Style w:val="7"/>
                <w:lang w:val="en-US" w:eastAsia="zh-CN" w:bidi="ar"/>
              </w:rPr>
              <w:t>同比</w:t>
            </w:r>
          </w:p>
        </w:tc>
        <w:tc>
          <w:tcPr>
            <w:tcW w:w="1383" w:type="dxa"/>
            <w:tcBorders>
              <w:top w:val="single" w:color="4874CB" w:sz="8" w:space="0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Style w:val="7"/>
                <w:lang w:val="en-US" w:eastAsia="zh-CN" w:bidi="ar"/>
              </w:rPr>
              <w:t>本年累计营业收入（</w:t>
            </w:r>
            <w:r>
              <w:rPr>
                <w:rStyle w:val="7"/>
                <w:rFonts w:hint="eastAsia"/>
                <w:lang w:val="en-US" w:eastAsia="zh-CN" w:bidi="ar"/>
              </w:rPr>
              <w:t>万元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  <w:tc>
          <w:tcPr>
            <w:tcW w:w="1211" w:type="dxa"/>
            <w:tcBorders>
              <w:top w:val="single" w:color="4874CB" w:sz="8" w:space="0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Style w:val="7"/>
                <w:lang w:val="en-US" w:eastAsia="zh-CN" w:bidi="ar"/>
              </w:rPr>
              <w:t>本年目标（</w:t>
            </w:r>
            <w:r>
              <w:rPr>
                <w:rStyle w:val="7"/>
                <w:rFonts w:hint="eastAsia"/>
                <w:lang w:val="en-US" w:eastAsia="zh-CN" w:bidi="ar"/>
              </w:rPr>
              <w:t>万元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  <w:tc>
          <w:tcPr>
            <w:tcW w:w="1577" w:type="dxa"/>
            <w:tcBorders>
              <w:top w:val="single" w:color="4874CB" w:sz="8" w:space="0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Style w:val="7"/>
                <w:lang w:val="en-US" w:eastAsia="zh-CN" w:bidi="ar"/>
              </w:rPr>
              <w:t>目标完成率</w:t>
            </w:r>
          </w:p>
        </w:tc>
      </w:tr>
      <w:tr>
        <w:trPr>
          <w:cantSplit/>
          <w:trHeight w:val="23" w:hRule="atLeast"/>
        </w:trPr>
        <w:tc>
          <w:tcPr>
            <w:tcW w:w="1156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ZN事业部</w:t>
            </w:r>
          </w:p>
        </w:tc>
        <w:tc>
          <w:tcPr>
            <w:tcW w:w="1349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0.0</w:t>
            </w:r>
          </w:p>
        </w:tc>
        <w:tc>
          <w:tcPr>
            <w:tcW w:w="1612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  <w:shd w:fill="FE939E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-100.0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  <w:tc>
          <w:tcPr>
            <w:tcW w:w="1383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0.0</w:t>
            </w:r>
          </w:p>
        </w:tc>
        <w:tc>
          <w:tcPr>
            <w:tcW w:w="1211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25722.0</w:t>
            </w:r>
          </w:p>
        </w:tc>
        <w:tc>
          <w:tcPr>
            <w:tcW w:w="1577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0.0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</w:tr>
      <w:tr>
        <w:trPr>
          <w:cantSplit/>
          <w:trHeight w:val="23" w:hRule="atLeast"/>
        </w:trPr>
        <w:tc>
          <w:tcPr>
            <w:tcW w:w="1156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ZX事业部</w:t>
            </w:r>
          </w:p>
        </w:tc>
        <w:tc>
          <w:tcPr>
            <w:tcW w:w="1349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7045.54</w:t>
            </w:r>
          </w:p>
        </w:tc>
        <w:tc>
          <w:tcPr>
            <w:tcW w:w="1612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  <w:shd w:fill="FE939E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-6.7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  <w:tc>
          <w:tcPr>
            <w:tcW w:w="1383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16197.2</w:t>
            </w:r>
          </w:p>
        </w:tc>
        <w:tc>
          <w:tcPr>
            <w:tcW w:w="1211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37900.0</w:t>
            </w:r>
          </w:p>
        </w:tc>
        <w:tc>
          <w:tcPr>
            <w:tcW w:w="1577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42.74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</w:tr>
      <w:tr>
        <w:trPr>
          <w:cantSplit/>
          <w:trHeight w:val="23" w:hRule="atLeast"/>
        </w:trPr>
        <w:tc>
          <w:tcPr>
            <w:tcW w:w="1156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KC事业部</w:t>
            </w:r>
          </w:p>
        </w:tc>
        <w:tc>
          <w:tcPr>
            <w:tcW w:w="1349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13288.17</w:t>
            </w:r>
          </w:p>
        </w:tc>
        <w:tc>
          <w:tcPr>
            <w:tcW w:w="1612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0.67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  <w:tc>
          <w:tcPr>
            <w:tcW w:w="1383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22410.01</w:t>
            </w:r>
          </w:p>
        </w:tc>
        <w:tc>
          <w:tcPr>
            <w:tcW w:w="1211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47420.0</w:t>
            </w:r>
          </w:p>
        </w:tc>
        <w:tc>
          <w:tcPr>
            <w:tcW w:w="1577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47.26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</w:tr>
      <w:tr>
        <w:trPr>
          <w:cantSplit/>
          <w:trHeight w:val="23" w:hRule="atLeast"/>
        </w:trPr>
        <w:tc>
          <w:tcPr>
            <w:tcW w:w="1156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SZ设计院</w:t>
            </w:r>
          </w:p>
        </w:tc>
        <w:tc>
          <w:tcPr>
            <w:tcW w:w="1349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1005.81</w:t>
            </w:r>
          </w:p>
        </w:tc>
        <w:tc>
          <w:tcPr>
            <w:tcW w:w="1612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  <w:shd w:fill="FE939E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-42.24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  <w:tc>
          <w:tcPr>
            <w:tcW w:w="1383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1151.5</w:t>
            </w:r>
          </w:p>
        </w:tc>
        <w:tc>
          <w:tcPr>
            <w:tcW w:w="1211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10223.0</w:t>
            </w:r>
          </w:p>
        </w:tc>
        <w:tc>
          <w:tcPr>
            <w:tcW w:w="1577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11.26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</w:tr>
      <w:tr>
        <w:trPr>
          <w:cantSplit/>
          <w:trHeight w:val="23" w:hRule="atLeast"/>
        </w:trPr>
        <w:tc>
          <w:tcPr>
            <w:tcW w:w="1156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BR公司</w:t>
            </w:r>
          </w:p>
        </w:tc>
        <w:tc>
          <w:tcPr>
            <w:tcW w:w="1349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614.76</w:t>
            </w:r>
          </w:p>
        </w:tc>
        <w:tc>
          <w:tcPr>
            <w:tcW w:w="1612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100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  <w:tc>
          <w:tcPr>
            <w:tcW w:w="1383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1399.88</w:t>
            </w:r>
          </w:p>
        </w:tc>
        <w:tc>
          <w:tcPr>
            <w:tcW w:w="1211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5310.0</w:t>
            </w:r>
          </w:p>
        </w:tc>
        <w:tc>
          <w:tcPr>
            <w:tcW w:w="1577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26.36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</w:tr>
      <w:tr>
        <w:trPr>
          <w:cantSplit/>
          <w:trHeight w:val="23" w:hRule="atLeast"/>
        </w:trPr>
        <w:tc>
          <w:tcPr>
            <w:tcW w:w="1156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GC公司</w:t>
            </w:r>
          </w:p>
        </w:tc>
        <w:tc>
          <w:tcPr>
            <w:tcW w:w="1349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4625.33</w:t>
            </w:r>
          </w:p>
        </w:tc>
        <w:tc>
          <w:tcPr>
            <w:tcW w:w="1612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27.5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  <w:tc>
          <w:tcPr>
            <w:tcW w:w="1383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11745.81</w:t>
            </w:r>
          </w:p>
        </w:tc>
        <w:tc>
          <w:tcPr>
            <w:tcW w:w="1211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18240.0</w:t>
            </w:r>
          </w:p>
        </w:tc>
        <w:tc>
          <w:tcPr>
            <w:tcW w:w="1577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64.4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</w:tr>
      <w:tr>
        <w:trPr>
          <w:cantSplit/>
          <w:trHeight w:val="23" w:hRule="atLeast"/>
        </w:trPr>
        <w:tc>
          <w:tcPr>
            <w:tcW w:w="1156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SZ公司</w:t>
            </w:r>
          </w:p>
        </w:tc>
        <w:tc>
          <w:tcPr>
            <w:tcW w:w="1349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6756.7</w:t>
            </w:r>
          </w:p>
        </w:tc>
        <w:tc>
          <w:tcPr>
            <w:tcW w:w="1612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  <w:shd w:fill="FE939E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-15.96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  <w:tc>
          <w:tcPr>
            <w:tcW w:w="1383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22080.76</w:t>
            </w:r>
          </w:p>
        </w:tc>
        <w:tc>
          <w:tcPr>
            <w:tcW w:w="1211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30180.0</w:t>
            </w:r>
          </w:p>
        </w:tc>
        <w:tc>
          <w:tcPr>
            <w:tcW w:w="1577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73.16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</w:tr>
      <w:tr>
        <w:trPr>
          <w:cantSplit/>
          <w:trHeight w:val="23" w:hRule="atLeast"/>
        </w:trPr>
        <w:tc>
          <w:tcPr>
            <w:tcW w:w="1156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XCL公司</w:t>
            </w:r>
          </w:p>
        </w:tc>
        <w:tc>
          <w:tcPr>
            <w:tcW w:w="1349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11102.8</w:t>
            </w:r>
          </w:p>
        </w:tc>
        <w:tc>
          <w:tcPr>
            <w:tcW w:w="1612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196.95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  <w:tc>
          <w:tcPr>
            <w:tcW w:w="1383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48859.34</w:t>
            </w:r>
          </w:p>
        </w:tc>
        <w:tc>
          <w:tcPr>
            <w:tcW w:w="1211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66352.0</w:t>
            </w:r>
          </w:p>
        </w:tc>
        <w:tc>
          <w:tcPr>
            <w:tcW w:w="1577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73.64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</w:tr>
      <w:tr>
        <w:trPr>
          <w:cantSplit/>
          <w:trHeight w:val="23" w:hRule="atLeast"/>
        </w:trPr>
        <w:tc>
          <w:tcPr>
            <w:tcW w:w="1156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JZ公司</w:t>
            </w:r>
          </w:p>
        </w:tc>
        <w:tc>
          <w:tcPr>
            <w:tcW w:w="1349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914.56</w:t>
            </w:r>
          </w:p>
        </w:tc>
        <w:tc>
          <w:tcPr>
            <w:tcW w:w="1612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  <w:shd w:fill="FE939E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-77.61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  <w:tc>
          <w:tcPr>
            <w:tcW w:w="1383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3213.55</w:t>
            </w:r>
          </w:p>
        </w:tc>
        <w:tc>
          <w:tcPr>
            <w:tcW w:w="1211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13267.0</w:t>
            </w:r>
          </w:p>
        </w:tc>
        <w:tc>
          <w:tcPr>
            <w:tcW w:w="1577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24.22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</w:tr>
      <w:tr>
        <w:trPr>
          <w:cantSplit/>
          <w:trHeight w:val="23" w:hRule="atLeast"/>
        </w:trPr>
        <w:tc>
          <w:tcPr>
            <w:tcW w:w="1156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DBE3F4" w:themeFill="accent1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lang w:val="en-US" w:eastAsia="zh-CN" w:bidi="ar"/>
              </w:rPr>
              <w:t>合计</w:t>
            </w:r>
          </w:p>
        </w:tc>
        <w:tc>
          <w:tcPr>
            <w:tcW w:w="1349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DBE3F4" w:themeFill="accent1" w:themeFillTint="32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45353.67</w:t>
            </w:r>
          </w:p>
        </w:tc>
        <w:tc>
          <w:tcPr>
            <w:tcW w:w="1612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DBE3F4" w:themeFill="accent1" w:themeFillTint="32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/</w:t>
            </w:r>
          </w:p>
        </w:tc>
        <w:tc>
          <w:tcPr>
            <w:tcW w:w="1383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DBE3F4" w:themeFill="accent1" w:themeFillTint="32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127058.05</w:t>
            </w:r>
          </w:p>
        </w:tc>
        <w:tc>
          <w:tcPr>
            <w:tcW w:w="1211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DBE3F4" w:themeFill="accent1" w:themeFillTint="32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254614.0</w:t>
            </w:r>
          </w:p>
        </w:tc>
        <w:tc>
          <w:tcPr>
            <w:tcW w:w="1577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DBE3F4" w:themeFill="accent1" w:themeFillTint="32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49.9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从第</w:t>
      </w:r>
      <w:r>
        <w:rPr>
          <w:rFonts w:hint="default"/>
          <w:lang w:val="en-US" w:eastAsia="zh-CN"/>
        </w:rPr>
        <w:t xml:space="preserve">三</w:t>
      </w:r>
      <w:r>
        <w:rPr>
          <w:rFonts w:hint="eastAsia"/>
          <w:lang w:val="en-US" w:eastAsia="zh-CN"/>
        </w:rPr>
        <w:t>季度公司各组织营业收入来看，公司收入以</w:t>
      </w:r>
      <w:r>
        <w:rPr>
          <w:rFonts w:hint="default"/>
          <w:lang w:val="en-US" w:eastAsia="zh-CN"/>
        </w:rPr>
        <w:t xml:space="preserve">KC事业部</w:t>
      </w:r>
      <w:r>
        <w:rPr>
          <w:rFonts w:hint="eastAsia"/>
          <w:lang w:val="en-US" w:eastAsia="zh-CN"/>
        </w:rPr>
        <w:t xml:space="preserve">的业务为主，从目标完成率来看，XCL公司完成较好，同比196.95%，目标完成率为73.64%，SZ公司完成较好，同比-15.96%，目标完成率为73.16%，，表现突出；</w:t>
      </w:r>
      <w:r>
        <w:rPr>
          <w:rFonts w:hint="default"/>
          <w:lang w:val="en-US" w:eastAsia="zh-CN"/>
        </w:rPr>
        <w:t xml:space="preserve">KC事业部完成未达预期，同比0.67%，目标完成率为47.26%，BR公司完成未达预期，同比100%，目标完成率为26.36%，ZX事业部完成未达预期，同比-6.7%，目标完成率为42.74%，ZN事业部完成未达预期，同比-100.0%，目标完成率为0.0%，JZ公司完成未达预期，同比-77.61%，目标完成率为24.22%，SZ设计院完成未达预期，同比-42.24%，目标完成率为11.26%，GC公司完成未达预期，同比27.5%，目标完成率为64.4%，</w:t>
      </w:r>
      <w:r>
        <w:rPr>
          <w:rFonts w:hint="eastAsia"/>
          <w:lang w:val="en-US" w:eastAsia="zh-CN"/>
        </w:rPr>
        <w:t>，需进一步提升目标达成率。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各区域第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三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季度营业收入情况</w:t>
      </w:r>
    </w:p>
    <w:p>
      <w:pPr>
        <w:ind w:left="-1035" w:leftChars="-493" w:firstLine="1035" w:firstLineChars="49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8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ea_pie1_2024-04-03_01_38_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</w:t>
      </w:r>
      <w:r>
        <w:rPr>
          <w:rFonts w:hint="default"/>
          <w:lang w:val="en-US" w:eastAsia="zh-CN"/>
        </w:rPr>
        <w:t xml:space="preserve">三</w:t>
      </w:r>
      <w:r>
        <w:rPr>
          <w:rFonts w:hint="eastAsia"/>
          <w:lang w:val="en-US" w:eastAsia="zh-CN"/>
        </w:rPr>
        <w:t>季度收入区域组成来看，公司以</w:t>
      </w:r>
      <w:r>
        <w:rPr>
          <w:rFonts w:hint="default"/>
          <w:lang w:val="en-US" w:eastAsia="zh-CN"/>
        </w:rPr>
        <w:t xml:space="preserve">区内</w:t>
      </w:r>
      <w:r>
        <w:rPr>
          <w:rFonts w:hint="eastAsia"/>
          <w:lang w:val="en-US" w:eastAsia="zh-CN"/>
        </w:rPr>
        <w:t>业务为主，占比</w:t>
      </w:r>
      <w:r>
        <w:rPr>
          <w:rFonts w:hint="default"/>
          <w:lang w:val="en-US" w:eastAsia="zh-CN"/>
        </w:rPr>
        <w:t xml:space="preserve">97.26</w:t>
      </w:r>
      <w:r>
        <w:rPr>
          <w:rFonts w:hint="eastAsia"/>
          <w:lang w:val="en-US" w:eastAsia="zh-CN"/>
        </w:rPr>
        <w:t>%，</w:t>
      </w:r>
      <w:r>
        <w:rPr>
          <w:rFonts w:hint="default"/>
          <w:lang w:val="en-US" w:eastAsia="zh-CN"/>
        </w:rPr>
        <w:t xml:space="preserve">区外</w:t>
      </w:r>
      <w:r>
        <w:rPr>
          <w:rFonts w:hint="eastAsia"/>
          <w:lang w:val="en-US" w:eastAsia="zh-CN"/>
        </w:rPr>
        <w:t>收入占比仅为</w:t>
      </w:r>
      <w:r>
        <w:rPr>
          <w:rFonts w:hint="default"/>
          <w:lang w:val="en-US" w:eastAsia="zh-CN"/>
        </w:rPr>
        <w:t xml:space="preserve">2.74</w:t>
      </w:r>
      <w:r>
        <w:rPr>
          <w:rFonts w:hint="eastAsia"/>
          <w:lang w:val="en-US" w:eastAsia="zh-CN"/>
        </w:rPr>
        <w:t>%。其原因主要是：在</w:t>
      </w:r>
      <w:r>
        <w:rPr>
          <w:rFonts w:hint="default"/>
          <w:lang w:val="en-US" w:eastAsia="zh-CN"/>
        </w:rPr>
        <w:t xml:space="preserve">区内</w:t>
      </w:r>
      <w:r>
        <w:rPr>
          <w:rFonts w:hint="eastAsia"/>
          <w:lang w:val="en-US" w:eastAsia="zh-CN"/>
        </w:rPr>
        <w:t>市场的经营时间较长，积累了较高的知名度和良好的口碑，客户更容易信任并选择我司，从而带来稳定的业务。</w:t>
      </w:r>
      <w:r>
        <w:rPr>
          <w:rFonts w:hint="default"/>
          <w:lang w:val="en-US" w:eastAsia="zh-CN"/>
        </w:rPr>
        <w:t xml:space="preserve">区外</w:t>
      </w:r>
      <w:r>
        <w:rPr>
          <w:rFonts w:hint="eastAsia"/>
          <w:lang w:val="en-US" w:eastAsia="zh-CN"/>
        </w:rPr>
        <w:t>市场开拓时间较晚，且竞争对手较多，缺乏深入了解，未能充分开发市场。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贡献营收前十名客户分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析</w:t>
      </w:r>
    </w:p>
    <w:tbl>
      <w:tblPr>
        <w:tblStyle w:val="4"/>
        <w:tblW w:w="9195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2258"/>
        <w:gridCol w:w="1909"/>
        <w:gridCol w:w="1527"/>
        <w:gridCol w:w="1855"/>
      </w:tblGrid>
      <w:tr>
        <w:trPr>
          <w:trHeight w:val="270" w:hRule="atLeast"/>
        </w:trPr>
        <w:tc>
          <w:tcPr>
            <w:tcW w:w="1646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排名</w:t>
            </w:r>
          </w:p>
        </w:tc>
        <w:tc>
          <w:tcPr>
            <w:tcW w:w="2258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商务伙伴</w:t>
            </w:r>
          </w:p>
        </w:tc>
        <w:tc>
          <w:tcPr>
            <w:tcW w:w="1909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企业性质分类</w:t>
            </w:r>
          </w:p>
        </w:tc>
        <w:tc>
          <w:tcPr>
            <w:tcW w:w="1527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收入</w:t>
            </w:r>
            <w:r>
              <w:rPr>
                <w:rStyle w:val="7"/>
                <w:lang w:val="en-US" w:eastAsia="zh-CN" w:bidi="ar"/>
              </w:rPr>
              <w:t>（</w:t>
            </w:r>
            <w:r>
              <w:rPr>
                <w:rStyle w:val="7"/>
                <w:rFonts w:hint="eastAsia"/>
                <w:lang w:val="en-US" w:eastAsia="zh-CN" w:bidi="ar"/>
              </w:rPr>
              <w:t>万元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  <w:tc>
          <w:tcPr>
            <w:tcW w:w="1855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占营业总收入</w:t>
            </w:r>
          </w:p>
        </w:tc>
      </w:tr>
      <w:tr>
        <w:trPr>
          <w:trHeight w:val="272" w:hRule="atLeast"/>
        </w:trPr>
        <w:tc>
          <w:tcPr>
            <w:tcW w:w="1646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2258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A122公司</w:t>
            </w:r>
          </w:p>
        </w:tc>
        <w:tc>
          <w:tcPr>
            <w:tcW w:w="1909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地方国有企业</w:t>
            </w:r>
          </w:p>
        </w:tc>
        <w:tc>
          <w:tcPr>
            <w:tcW w:w="1527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6482.94</w:t>
            </w:r>
          </w:p>
        </w:tc>
        <w:tc>
          <w:tcPr>
            <w:tcW w:w="1855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14.29%</w:t>
            </w:r>
          </w:p>
        </w:tc>
      </w:tr>
      <w:tr>
        <w:trPr>
          <w:trHeight w:val="272" w:hRule="atLeast"/>
        </w:trPr>
        <w:tc>
          <w:tcPr>
            <w:tcW w:w="1646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2258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A113公司</w:t>
            </w:r>
          </w:p>
        </w:tc>
        <w:tc>
          <w:tcPr>
            <w:tcW w:w="1909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地方国有企业</w:t>
            </w:r>
          </w:p>
        </w:tc>
        <w:tc>
          <w:tcPr>
            <w:tcW w:w="1527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5749.41</w:t>
            </w:r>
          </w:p>
        </w:tc>
        <w:tc>
          <w:tcPr>
            <w:tcW w:w="1855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12.68%</w:t>
            </w:r>
          </w:p>
        </w:tc>
      </w:tr>
      <w:tr>
        <w:trPr>
          <w:trHeight w:val="272" w:hRule="atLeast"/>
        </w:trPr>
        <w:tc>
          <w:tcPr>
            <w:tcW w:w="1646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258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A6公司</w:t>
            </w:r>
          </w:p>
        </w:tc>
        <w:tc>
          <w:tcPr>
            <w:tcW w:w="1909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地方国有企业</w:t>
            </w:r>
          </w:p>
        </w:tc>
        <w:tc>
          <w:tcPr>
            <w:tcW w:w="1527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3494.81</w:t>
            </w:r>
          </w:p>
        </w:tc>
        <w:tc>
          <w:tcPr>
            <w:tcW w:w="1855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7.71%</w:t>
            </w:r>
          </w:p>
        </w:tc>
      </w:tr>
      <w:tr>
        <w:trPr>
          <w:trHeight w:val="272" w:hRule="atLeast"/>
        </w:trPr>
        <w:tc>
          <w:tcPr>
            <w:tcW w:w="1646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258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A50公司</w:t>
            </w:r>
          </w:p>
        </w:tc>
        <w:tc>
          <w:tcPr>
            <w:tcW w:w="1909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地方国有企业</w:t>
            </w:r>
          </w:p>
        </w:tc>
        <w:tc>
          <w:tcPr>
            <w:tcW w:w="1527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1010.15</w:t>
            </w:r>
          </w:p>
        </w:tc>
        <w:tc>
          <w:tcPr>
            <w:tcW w:w="1855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2.23%</w:t>
            </w:r>
          </w:p>
        </w:tc>
      </w:tr>
      <w:tr>
        <w:trPr>
          <w:trHeight w:val="272" w:hRule="atLeast"/>
        </w:trPr>
        <w:tc>
          <w:tcPr>
            <w:tcW w:w="1646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258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A27公司</w:t>
            </w:r>
          </w:p>
        </w:tc>
        <w:tc>
          <w:tcPr>
            <w:tcW w:w="1909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地方国有企业</w:t>
            </w:r>
          </w:p>
        </w:tc>
        <w:tc>
          <w:tcPr>
            <w:tcW w:w="1527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715.02</w:t>
            </w:r>
          </w:p>
        </w:tc>
        <w:tc>
          <w:tcPr>
            <w:tcW w:w="1855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1.58%</w:t>
            </w:r>
          </w:p>
        </w:tc>
      </w:tr>
      <w:tr>
        <w:trPr>
          <w:trHeight w:val="272" w:hRule="atLeast"/>
        </w:trPr>
        <w:tc>
          <w:tcPr>
            <w:tcW w:w="1646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258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A5公司</w:t>
            </w:r>
          </w:p>
        </w:tc>
        <w:tc>
          <w:tcPr>
            <w:tcW w:w="1909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地方国有企业</w:t>
            </w:r>
          </w:p>
        </w:tc>
        <w:tc>
          <w:tcPr>
            <w:tcW w:w="1527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559.11</w:t>
            </w:r>
          </w:p>
        </w:tc>
        <w:tc>
          <w:tcPr>
            <w:tcW w:w="1855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1.23%</w:t>
            </w:r>
          </w:p>
        </w:tc>
      </w:tr>
      <w:tr>
        <w:trPr>
          <w:trHeight w:val="272" w:hRule="atLeast"/>
        </w:trPr>
        <w:tc>
          <w:tcPr>
            <w:tcW w:w="1646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258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A9公司</w:t>
            </w:r>
          </w:p>
        </w:tc>
        <w:tc>
          <w:tcPr>
            <w:tcW w:w="1909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其他</w:t>
            </w:r>
          </w:p>
        </w:tc>
        <w:tc>
          <w:tcPr>
            <w:tcW w:w="1527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462.52</w:t>
            </w:r>
          </w:p>
        </w:tc>
        <w:tc>
          <w:tcPr>
            <w:tcW w:w="1855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1.02%</w:t>
            </w:r>
          </w:p>
        </w:tc>
      </w:tr>
      <w:tr>
        <w:trPr>
          <w:trHeight w:val="272" w:hRule="atLeast"/>
        </w:trPr>
        <w:tc>
          <w:tcPr>
            <w:tcW w:w="1646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258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A52公司</w:t>
            </w:r>
          </w:p>
        </w:tc>
        <w:tc>
          <w:tcPr>
            <w:tcW w:w="1909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地方国有企业</w:t>
            </w:r>
          </w:p>
        </w:tc>
        <w:tc>
          <w:tcPr>
            <w:tcW w:w="1527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443.8</w:t>
            </w:r>
          </w:p>
        </w:tc>
        <w:tc>
          <w:tcPr>
            <w:tcW w:w="1855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0.98%</w:t>
            </w:r>
          </w:p>
        </w:tc>
      </w:tr>
      <w:tr>
        <w:trPr>
          <w:trHeight w:val="272" w:hRule="atLeast"/>
        </w:trPr>
        <w:tc>
          <w:tcPr>
            <w:tcW w:w="1646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258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A107公司</w:t>
            </w:r>
          </w:p>
        </w:tc>
        <w:tc>
          <w:tcPr>
            <w:tcW w:w="1909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地方国有企业</w:t>
            </w:r>
          </w:p>
        </w:tc>
        <w:tc>
          <w:tcPr>
            <w:tcW w:w="1527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440.6</w:t>
            </w:r>
          </w:p>
        </w:tc>
        <w:tc>
          <w:tcPr>
            <w:tcW w:w="1855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0.97%</w:t>
            </w:r>
          </w:p>
        </w:tc>
      </w:tr>
      <w:tr>
        <w:trPr>
          <w:trHeight w:val="272" w:hRule="atLeast"/>
        </w:trPr>
        <w:tc>
          <w:tcPr>
            <w:tcW w:w="1646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258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A128公司</w:t>
            </w:r>
          </w:p>
        </w:tc>
        <w:tc>
          <w:tcPr>
            <w:tcW w:w="1909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中央企业</w:t>
            </w:r>
          </w:p>
        </w:tc>
        <w:tc>
          <w:tcPr>
            <w:tcW w:w="1527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426.11</w:t>
            </w:r>
          </w:p>
        </w:tc>
        <w:tc>
          <w:tcPr>
            <w:tcW w:w="1855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0.94%</w:t>
            </w:r>
          </w:p>
        </w:tc>
      </w:tr>
      <w:tr>
        <w:trPr>
          <w:trHeight w:val="272" w:hRule="atLeast"/>
        </w:trPr>
        <w:tc>
          <w:tcPr>
            <w:tcW w:w="1646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2258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909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527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19784.47</w:t>
            </w:r>
          </w:p>
        </w:tc>
        <w:tc>
          <w:tcPr>
            <w:tcW w:w="1855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43.62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第三季度营业收入最高的客户是A122公司，占比14.29%，与我公司合作的客户主要是地方国有企业，是我们的重要客户，但仍然要努力拓宽客户来源，多与不同的客户交流合作，拓展业务。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E4329"/>
    <w:multiLevelType w:val="singleLevel"/>
    <w:tmpl w:val="DDFE4329"/>
    <w:lvl w:ilvl="0" w:tentative="0">
      <w:start w:val="1"/>
      <w:numFmt w:val="decimal"/>
      <w:pStyle w:val="6"/>
      <w:suff w:val="space"/>
      <w:lvlText w:val="%1."/>
      <w:lvlJc w:val="left"/>
    </w:lvl>
  </w:abstractNum>
  <w:abstractNum w:abstractNumId="1">
    <w:nsid w:val="F66B71C7"/>
    <w:multiLevelType w:val="singleLevel"/>
    <w:tmpl w:val="F66B71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B4569"/>
    <w:rsid w:val="05FEF45D"/>
    <w:rsid w:val="1DC96AE2"/>
    <w:rsid w:val="2BE336FD"/>
    <w:rsid w:val="2C7CD89C"/>
    <w:rsid w:val="36BF2BB0"/>
    <w:rsid w:val="39F7CB7F"/>
    <w:rsid w:val="3BF37E1B"/>
    <w:rsid w:val="3F554571"/>
    <w:rsid w:val="47FFD8D4"/>
    <w:rsid w:val="4F7B5212"/>
    <w:rsid w:val="57F704D1"/>
    <w:rsid w:val="5CCBEDFB"/>
    <w:rsid w:val="6BBFDEAC"/>
    <w:rsid w:val="6BF75513"/>
    <w:rsid w:val="6F4B4569"/>
    <w:rsid w:val="6F65A6E2"/>
    <w:rsid w:val="6FFBD6D1"/>
    <w:rsid w:val="6FFFE2A3"/>
    <w:rsid w:val="76431C27"/>
    <w:rsid w:val="77B788C5"/>
    <w:rsid w:val="79E70986"/>
    <w:rsid w:val="7D9EB4F9"/>
    <w:rsid w:val="7DEAC593"/>
    <w:rsid w:val="7DEBACA0"/>
    <w:rsid w:val="7EFD969D"/>
    <w:rsid w:val="7EFDBDC2"/>
    <w:rsid w:val="7F374DED"/>
    <w:rsid w:val="7FDF1C71"/>
    <w:rsid w:val="7FF6FCB5"/>
    <w:rsid w:val="7FFBB6AD"/>
    <w:rsid w:val="7FFC1485"/>
    <w:rsid w:val="7FFF2E20"/>
    <w:rsid w:val="97DDD9C3"/>
    <w:rsid w:val="99FF44DF"/>
    <w:rsid w:val="9BFE286F"/>
    <w:rsid w:val="AE57D656"/>
    <w:rsid w:val="B73D8C05"/>
    <w:rsid w:val="B85780BF"/>
    <w:rsid w:val="BE23E833"/>
    <w:rsid w:val="BF7F1D8B"/>
    <w:rsid w:val="DB7A2841"/>
    <w:rsid w:val="DDEF5DF6"/>
    <w:rsid w:val="E9E6F023"/>
    <w:rsid w:val="EAF6400F"/>
    <w:rsid w:val="EB9F41C8"/>
    <w:rsid w:val="ECFE0CB3"/>
    <w:rsid w:val="EF96C364"/>
    <w:rsid w:val="F26F6196"/>
    <w:rsid w:val="F4FD3FD5"/>
    <w:rsid w:val="F7D6B4D6"/>
    <w:rsid w:val="FDEF9EDD"/>
    <w:rsid w:val="FEF9339E"/>
    <w:rsid w:val="FF7FBF03"/>
    <w:rsid w:val="FFBB811A"/>
    <w:rsid w:val="FFF7C8CB"/>
    <w:rsid w:val="FFF9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"/>
    <w:basedOn w:val="3"/>
    <w:next w:val="1"/>
    <w:uiPriority w:val="0"/>
    <w:pPr>
      <w:numPr>
        <w:ilvl w:val="0"/>
        <w:numId w:val="1"/>
      </w:numPr>
    </w:pPr>
    <w:rPr>
      <w:rFonts w:hint="eastAsia" w:ascii="Arial" w:hAnsi="Arial"/>
      <w:sz w:val="44"/>
    </w:rPr>
  </w:style>
  <w:style w:type="character" w:customStyle="1" w:styleId="7">
    <w:name w:val="font11"/>
    <w:basedOn w:val="5"/>
    <w:uiPriority w:val="0"/>
    <w:rPr>
      <w:rFonts w:hint="eastAsia" w:ascii="宋体" w:hAnsi="宋体" w:eastAsia="宋体" w:cs="宋体"/>
      <w:b/>
      <w:bCs/>
      <w:color w:val="FFFFFF"/>
      <w:sz w:val="22"/>
      <w:szCs w:val="22"/>
      <w:u w:val="none"/>
    </w:rPr>
  </w:style>
  <w:style w:type="character" w:customStyle="1" w:styleId="8">
    <w:name w:val="font21"/>
    <w:basedOn w:val="5"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</w:rPr>
  </w:style>
  <w:style w:type="character" w:customStyle="1" w:styleId="9">
    <w:name w:val="font31"/>
    <w:basedOn w:val="5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2024-03-28T09:42:00Z</dcterms:created>
  <dc:creator>廖洪杰</dc:creator>
  <cp:lastModifiedBy>廖洪杰</cp:lastModifiedBy>
  <dcterms:modified xsi:type="dcterms:W3CDTF">2024-03-26T21:44:44Z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5F3EEE020E24024A00E2FC655C48F0C3_41</vt:lpwstr>
  </property>
</Properties>
</file>