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E2BBE" w14:textId="77777777" w:rsidR="009E7583" w:rsidRPr="00951C77" w:rsidRDefault="009E7583" w:rsidP="009E7583">
      <w:pPr>
        <w:pStyle w:val="Title"/>
      </w:pPr>
      <w:r>
        <w:t>CS7646</w:t>
      </w:r>
    </w:p>
    <w:p w14:paraId="6C80E6C5" w14:textId="77777777" w:rsidR="009E7583" w:rsidRPr="00FF7B33" w:rsidRDefault="009E7583" w:rsidP="009E7583">
      <w:pPr>
        <w:pStyle w:val="Subtitle"/>
      </w:pPr>
      <w:r>
        <w:t>Xing Liu</w:t>
      </w:r>
      <w:r>
        <w:br/>
        <w:t>xliu397</w:t>
      </w:r>
      <w:r w:rsidRPr="00FF7B33">
        <w:t>@</w:t>
      </w:r>
      <w:r>
        <w:t>gatech.edu</w:t>
      </w:r>
    </w:p>
    <w:p w14:paraId="3DD064BA" w14:textId="77777777" w:rsidR="009E7583" w:rsidRDefault="009E7583" w:rsidP="009E7583">
      <w:pPr>
        <w:pStyle w:val="Heading1"/>
      </w:pPr>
      <w:r>
        <w:t>Introduction</w:t>
      </w:r>
    </w:p>
    <w:p w14:paraId="069693DB" w14:textId="77777777" w:rsidR="00E96DFD" w:rsidRDefault="009E7583" w:rsidP="009E7583">
      <w:r w:rsidRPr="009E7583">
        <w:t xml:space="preserve">This report compares a rule-based Manual Strategy against a data-driven Random Forest Strategy Learner trading JPM, with a benchmark of buy-and-hold 1000 shares. Both strategies draw on the same three indicators from Project 6. </w:t>
      </w:r>
      <w:r w:rsidR="00A80F7C">
        <w:t xml:space="preserve">I hypothesize </w:t>
      </w:r>
    </w:p>
    <w:p w14:paraId="6DC3E316" w14:textId="3953D2E3" w:rsidR="00E96DFD" w:rsidRDefault="00E96DFD" w:rsidP="00E96DFD">
      <w:pPr>
        <w:pStyle w:val="ListParagraph"/>
        <w:numPr>
          <w:ilvl w:val="0"/>
          <w:numId w:val="17"/>
        </w:numPr>
      </w:pPr>
      <w:r>
        <w:t>T</w:t>
      </w:r>
      <w:r w:rsidRPr="00E96DFD">
        <w:t>he Manual Strategy outperforms the benchmark in-sample by exploiting mean-reversion</w:t>
      </w:r>
      <w:r>
        <w:t>.</w:t>
      </w:r>
    </w:p>
    <w:p w14:paraId="1BFC1396" w14:textId="30975991" w:rsidR="00E96DFD" w:rsidRDefault="00E96DFD" w:rsidP="00E96DFD">
      <w:pPr>
        <w:pStyle w:val="ListParagraph"/>
        <w:numPr>
          <w:ilvl w:val="0"/>
          <w:numId w:val="17"/>
        </w:numPr>
      </w:pPr>
      <w:r>
        <w:t>T</w:t>
      </w:r>
      <w:r w:rsidRPr="00E96DFD">
        <w:t>he Strategy Learner beats the Manual Strategy in-sample because it learns from data, but overfits out-of-sample</w:t>
      </w:r>
      <w:r>
        <w:t>.</w:t>
      </w:r>
    </w:p>
    <w:p w14:paraId="09F1345C" w14:textId="6D354B51" w:rsidR="009E7583" w:rsidRDefault="00E96DFD" w:rsidP="00E96DFD">
      <w:pPr>
        <w:pStyle w:val="ListParagraph"/>
        <w:numPr>
          <w:ilvl w:val="0"/>
          <w:numId w:val="17"/>
        </w:numPr>
      </w:pPr>
      <w:r>
        <w:t>R</w:t>
      </w:r>
      <w:r w:rsidRPr="00E96DFD">
        <w:t>aising market impact degrades Strategy Learner returns monotonically</w:t>
      </w:r>
      <w:r>
        <w:t>.</w:t>
      </w:r>
    </w:p>
    <w:p w14:paraId="6DA1D273" w14:textId="77777777" w:rsidR="009E7583" w:rsidRPr="00C77662" w:rsidRDefault="009E7583" w:rsidP="009E7583">
      <w:pPr>
        <w:pStyle w:val="Heading2"/>
      </w:pPr>
      <w:r>
        <w:t>Methods</w:t>
      </w:r>
    </w:p>
    <w:p w14:paraId="0E0DD6E7" w14:textId="4EE1BEA8" w:rsidR="009E7583" w:rsidRDefault="009E7583" w:rsidP="009E7583">
      <w:r>
        <w:t>I use three indicators</w:t>
      </w:r>
      <w:r w:rsidR="00DE3F0A">
        <w:t>,</w:t>
      </w:r>
      <w:r>
        <w:t xml:space="preserve"> each with a 14-day lookback. All three generate</w:t>
      </w:r>
      <w:r w:rsidR="00DE3F0A">
        <w:t xml:space="preserve"> </w:t>
      </w:r>
      <w:r>
        <w:t>clear entry thresholds</w:t>
      </w:r>
      <w:r w:rsidR="00DE3F0A">
        <w:t>.</w:t>
      </w:r>
    </w:p>
    <w:p w14:paraId="51BC3A89" w14:textId="1926CA55" w:rsidR="009E7583" w:rsidRDefault="009E7583" w:rsidP="009E7583">
      <w:pPr>
        <w:pStyle w:val="ListParagraph"/>
        <w:numPr>
          <w:ilvl w:val="0"/>
          <w:numId w:val="7"/>
        </w:numPr>
      </w:pPr>
      <w:r>
        <w:t xml:space="preserve">Relative Strength Index (RSI): Computed as </w:t>
      </w:r>
      <w:r w:rsidR="00E864EC">
        <w:t>“</w:t>
      </w:r>
      <w:r>
        <w:t>100 − 100/(1+RS)</w:t>
      </w:r>
      <w:r w:rsidR="00E864EC">
        <w:t>”</w:t>
      </w:r>
      <w:r>
        <w:t xml:space="preserve"> where </w:t>
      </w:r>
      <w:r w:rsidR="00E864EC">
        <w:t>“</w:t>
      </w:r>
      <w:r>
        <w:t xml:space="preserve">RS = </w:t>
      </w:r>
      <w:proofErr w:type="spellStart"/>
      <w:r>
        <w:t>avg_gain</w:t>
      </w:r>
      <w:proofErr w:type="spellEnd"/>
      <w:r>
        <w:t xml:space="preserve"> / </w:t>
      </w:r>
      <w:proofErr w:type="spellStart"/>
      <w:r>
        <w:t>avg_loss</w:t>
      </w:r>
      <w:proofErr w:type="spellEnd"/>
      <w:r w:rsidR="00E864EC">
        <w:t>”</w:t>
      </w:r>
      <w:r>
        <w:t xml:space="preserve"> over a 14-day rolling window. Values below 30 indicate oversold conditions (long signal); values above 70 indicate overbought conditions (short signal).</w:t>
      </w:r>
    </w:p>
    <w:p w14:paraId="41FCC6A5" w14:textId="0EA4C5B1" w:rsidR="009E7583" w:rsidRDefault="009E7583" w:rsidP="009E7583">
      <w:pPr>
        <w:pStyle w:val="ListParagraph"/>
        <w:numPr>
          <w:ilvl w:val="0"/>
          <w:numId w:val="7"/>
        </w:numPr>
      </w:pPr>
      <w:r>
        <w:t xml:space="preserve">EMA Ratio: </w:t>
      </w:r>
      <w:r w:rsidR="00E864EC">
        <w:t>“</w:t>
      </w:r>
      <w:r>
        <w:t xml:space="preserve">price / </w:t>
      </w:r>
      <w:proofErr w:type="gramStart"/>
      <w:r>
        <w:t>EMA(</w:t>
      </w:r>
      <w:proofErr w:type="gramEnd"/>
      <w:r>
        <w:t>14)</w:t>
      </w:r>
      <w:r w:rsidR="00E864EC">
        <w:t>”</w:t>
      </w:r>
      <w:r>
        <w:t xml:space="preserve">, where EMA uses pandas </w:t>
      </w:r>
      <w:r w:rsidR="00E864EC">
        <w:t>“</w:t>
      </w:r>
      <w:proofErr w:type="spellStart"/>
      <w:r>
        <w:t>ewm</w:t>
      </w:r>
      <w:proofErr w:type="spellEnd"/>
      <w:r>
        <w:t>(span=14, adjust=False)</w:t>
      </w:r>
      <w:r w:rsidR="00E864EC">
        <w:t>”</w:t>
      </w:r>
      <w:r>
        <w:t>. I interpret it as a mean-reversion signal: ratio above 1.02 means price has stretched above its recent average (short)</w:t>
      </w:r>
      <w:r w:rsidR="00A80F7C">
        <w:t>,</w:t>
      </w:r>
      <w:r>
        <w:t xml:space="preserve"> below 0.98 means price has fallen below (long). </w:t>
      </w:r>
    </w:p>
    <w:p w14:paraId="4E769906" w14:textId="7FD11C69" w:rsidR="009E7583" w:rsidRDefault="009E7583" w:rsidP="009E7583">
      <w:pPr>
        <w:pStyle w:val="ListParagraph"/>
        <w:numPr>
          <w:ilvl w:val="0"/>
          <w:numId w:val="7"/>
        </w:numPr>
      </w:pPr>
      <w:r>
        <w:t xml:space="preserve">Bollinger Bands: </w:t>
      </w:r>
      <w:r w:rsidR="00E864EC">
        <w:t>“</w:t>
      </w:r>
      <w:r>
        <w:t>(price − lower) / (upper − lower)</w:t>
      </w:r>
      <w:r w:rsidR="00E864EC">
        <w:t>”</w:t>
      </w:r>
      <w:r>
        <w:t xml:space="preserve">, where bands are </w:t>
      </w:r>
      <w:proofErr w:type="gramStart"/>
      <w:r>
        <w:t>SMA(</w:t>
      </w:r>
      <w:proofErr w:type="gramEnd"/>
      <w:r>
        <w:t>14) ± 2*</w:t>
      </w:r>
      <w:proofErr w:type="spellStart"/>
      <w:r>
        <w:t>stdev</w:t>
      </w:r>
      <w:proofErr w:type="spellEnd"/>
      <w:r>
        <w:t>(14). Values below 0 are outside the lower band (long)</w:t>
      </w:r>
      <w:r w:rsidR="00A80F7C">
        <w:t>,</w:t>
      </w:r>
      <w:r>
        <w:t xml:space="preserve"> above 1 are outside the upper band (short).</w:t>
      </w:r>
    </w:p>
    <w:p w14:paraId="664ED720" w14:textId="4F373271" w:rsidR="009E7583" w:rsidRDefault="009E7583" w:rsidP="009E7583">
      <w:r>
        <w:t xml:space="preserve">All three parameters (lookback = 14, </w:t>
      </w:r>
      <w:r w:rsidR="009102A4">
        <w:t>Bollinger Band</w:t>
      </w:r>
      <w:r>
        <w:t xml:space="preserve"> </w:t>
      </w:r>
      <w:proofErr w:type="spellStart"/>
      <w:r>
        <w:t>stdev</w:t>
      </w:r>
      <w:proofErr w:type="spellEnd"/>
      <w:r>
        <w:t xml:space="preserve"> multiplier = 2, RSI thresholds 30/70) are standard technical-analysis defaults and kept identical between Manual and Strategy Learner.</w:t>
      </w:r>
    </w:p>
    <w:p w14:paraId="704C54B0" w14:textId="77777777" w:rsidR="009E7583" w:rsidRDefault="009E7583" w:rsidP="009E7583">
      <w:pPr>
        <w:pStyle w:val="Heading1"/>
      </w:pPr>
      <w:r>
        <w:lastRenderedPageBreak/>
        <w:t>Discussion</w:t>
      </w:r>
    </w:p>
    <w:p w14:paraId="3B59E0D8" w14:textId="74D75527" w:rsidR="009E7583" w:rsidRPr="003F2A55" w:rsidRDefault="009E7583" w:rsidP="009E7583">
      <w:pPr>
        <w:pStyle w:val="Heading2"/>
      </w:pPr>
      <w:r>
        <w:t>Manual Strategy</w:t>
      </w:r>
    </w:p>
    <w:p w14:paraId="2A181213" w14:textId="2BC3E11E" w:rsidR="009E7583" w:rsidRDefault="009E7583" w:rsidP="009E7583">
      <w:r>
        <w:t>Each indicator casts a vote in {-1, 0, +1} using the thresholds above. Votes are summed. A sum ≥ +1 targets a long 1000-share position</w:t>
      </w:r>
      <w:r w:rsidR="00A80F7C">
        <w:t>,</w:t>
      </w:r>
      <w:r>
        <w:t xml:space="preserve"> a sum ≤ -1 targets a short 1000-share position</w:t>
      </w:r>
      <w:r w:rsidR="000B7631">
        <w:t>,</w:t>
      </w:r>
      <w:r>
        <w:t xml:space="preserve"> otherwise </w:t>
      </w:r>
      <w:r w:rsidR="000B7631">
        <w:t>no changes</w:t>
      </w:r>
      <w:r>
        <w:t xml:space="preserve">. Trades are computed as the first difference of the target series. Entry thresholds are </w:t>
      </w:r>
      <w:r w:rsidR="000B7631">
        <w:t>on opposing ends of the spectrum</w:t>
      </w:r>
      <w:r>
        <w:t xml:space="preserve"> (RSI 30/70 vs. EMA 0.98/1.02) to capture each indicator's extremes</w:t>
      </w:r>
      <w:r w:rsidR="000B7631">
        <w:t>.</w:t>
      </w:r>
      <w:r>
        <w:t xml:space="preserve"> </w:t>
      </w:r>
      <w:r w:rsidR="000B7631">
        <w:t>T</w:t>
      </w:r>
      <w:r>
        <w:t xml:space="preserve">he vote </w:t>
      </w:r>
      <w:r w:rsidR="00A80F7C">
        <w:t>methodology</w:t>
      </w:r>
      <w:r>
        <w:t xml:space="preserve"> ensures </w:t>
      </w:r>
      <w:r w:rsidR="00A80F7C">
        <w:t>each</w:t>
      </w:r>
      <w:r>
        <w:t xml:space="preserve"> indicator </w:t>
      </w:r>
      <w:r w:rsidR="00A80F7C">
        <w:t>will contribute to trade signals.</w:t>
      </w:r>
    </w:p>
    <w:p w14:paraId="256F9DC2" w14:textId="5BEDC4AD" w:rsidR="009E7583" w:rsidRDefault="009E7583" w:rsidP="009E7583">
      <w:r>
        <w:t xml:space="preserve">I believe this is effective because the in-sample window (Jan 2008 – Dec 2009) spans the 2008 financial crisis — a regime where mean-reversion dominates. When JPM crashes sharply, all three oversold signals align and produce high-conviction long entries near local bottoms. </w:t>
      </w:r>
    </w:p>
    <w:p w14:paraId="107A74FB" w14:textId="78860BBF" w:rsidR="000B7631" w:rsidRDefault="000B7631" w:rsidP="009E7583">
      <w:r>
        <w:t xml:space="preserve">In the In-Sample vs Out-of-Sample tests, </w:t>
      </w:r>
      <w:r w:rsidR="003B205D">
        <w:t xml:space="preserve">I </w:t>
      </w:r>
      <w:r>
        <w:t xml:space="preserve">use </w:t>
      </w:r>
      <w:r w:rsidRPr="000B7631">
        <w:t>commission = $9.95, impact = 0.005, starting cash = $100,000</w:t>
      </w:r>
      <w:r>
        <w:t>. Results are below.</w:t>
      </w:r>
    </w:p>
    <w:p w14:paraId="79550896" w14:textId="155D1FB3" w:rsidR="005665D6" w:rsidRPr="005665D6" w:rsidRDefault="005665D6" w:rsidP="009E7583">
      <w:pPr>
        <w:rPr>
          <w:u w:val="single"/>
        </w:rPr>
      </w:pPr>
      <w:r w:rsidRPr="005665D6">
        <w:rPr>
          <w:u w:val="single"/>
        </w:rPr>
        <w:t>Performance Metrics Table:</w:t>
      </w:r>
    </w:p>
    <w:tbl>
      <w:tblPr>
        <w:tblStyle w:val="TableGrid"/>
        <w:tblW w:w="8742" w:type="dxa"/>
        <w:tblLook w:val="04A0" w:firstRow="1" w:lastRow="0" w:firstColumn="1" w:lastColumn="0" w:noHBand="0" w:noVBand="1"/>
      </w:tblPr>
      <w:tblGrid>
        <w:gridCol w:w="1388"/>
        <w:gridCol w:w="1949"/>
        <w:gridCol w:w="1516"/>
        <w:gridCol w:w="2161"/>
        <w:gridCol w:w="1728"/>
      </w:tblGrid>
      <w:tr w:rsidR="000B7631" w14:paraId="3593888D" w14:textId="77777777" w:rsidTr="005665D6">
        <w:trPr>
          <w:trHeight w:val="801"/>
        </w:trPr>
        <w:tc>
          <w:tcPr>
            <w:tcW w:w="1388" w:type="dxa"/>
          </w:tcPr>
          <w:p w14:paraId="3FBF3EE3" w14:textId="693EA2A2" w:rsidR="000B7631" w:rsidRDefault="000B7631" w:rsidP="009E7583">
            <w:r>
              <w:t>Metric</w:t>
            </w:r>
          </w:p>
        </w:tc>
        <w:tc>
          <w:tcPr>
            <w:tcW w:w="1949" w:type="dxa"/>
          </w:tcPr>
          <w:p w14:paraId="26DC4F7A" w14:textId="30D5C3DB" w:rsidR="000B7631" w:rsidRDefault="000B7631" w:rsidP="009E7583">
            <w:proofErr w:type="gramStart"/>
            <w:r w:rsidRPr="000B7631">
              <w:t>Benchmark(</w:t>
            </w:r>
            <w:proofErr w:type="gramEnd"/>
            <w:r w:rsidRPr="000B7631">
              <w:t>In Sample)</w:t>
            </w:r>
          </w:p>
        </w:tc>
        <w:tc>
          <w:tcPr>
            <w:tcW w:w="1516" w:type="dxa"/>
          </w:tcPr>
          <w:p w14:paraId="6CE1B9F5" w14:textId="10453EB8" w:rsidR="000B7631" w:rsidRDefault="000B7631" w:rsidP="009E7583">
            <w:proofErr w:type="gramStart"/>
            <w:r w:rsidRPr="000B7631">
              <w:t>Manual(</w:t>
            </w:r>
            <w:proofErr w:type="gramEnd"/>
            <w:r w:rsidRPr="000B7631">
              <w:t>In Sample)</w:t>
            </w:r>
          </w:p>
        </w:tc>
        <w:tc>
          <w:tcPr>
            <w:tcW w:w="2161" w:type="dxa"/>
          </w:tcPr>
          <w:p w14:paraId="2AA7E683" w14:textId="0A65FDA7" w:rsidR="000B7631" w:rsidRDefault="000B7631" w:rsidP="009E7583">
            <w:proofErr w:type="gramStart"/>
            <w:r w:rsidRPr="000B7631">
              <w:t>Benchmark(</w:t>
            </w:r>
            <w:proofErr w:type="gramEnd"/>
            <w:r w:rsidRPr="000B7631">
              <w:t>Out of Sample)</w:t>
            </w:r>
          </w:p>
        </w:tc>
        <w:tc>
          <w:tcPr>
            <w:tcW w:w="1728" w:type="dxa"/>
          </w:tcPr>
          <w:p w14:paraId="064308D5" w14:textId="501CBE26" w:rsidR="000B7631" w:rsidRDefault="000B7631" w:rsidP="009E7583">
            <w:proofErr w:type="gramStart"/>
            <w:r w:rsidRPr="000B7631">
              <w:t>Manual(</w:t>
            </w:r>
            <w:proofErr w:type="gramEnd"/>
            <w:r w:rsidRPr="000B7631">
              <w:t>Out of Sample)</w:t>
            </w:r>
          </w:p>
        </w:tc>
      </w:tr>
      <w:tr w:rsidR="000B7631" w14:paraId="1C19F539" w14:textId="77777777" w:rsidTr="005665D6">
        <w:trPr>
          <w:trHeight w:val="485"/>
        </w:trPr>
        <w:tc>
          <w:tcPr>
            <w:tcW w:w="1388" w:type="dxa"/>
          </w:tcPr>
          <w:p w14:paraId="77EA6096" w14:textId="0805D673" w:rsidR="000B7631" w:rsidRDefault="000B7631" w:rsidP="009E7583">
            <w:r>
              <w:t>Cumulative Return</w:t>
            </w:r>
          </w:p>
        </w:tc>
        <w:tc>
          <w:tcPr>
            <w:tcW w:w="1949" w:type="dxa"/>
          </w:tcPr>
          <w:p w14:paraId="758852C0" w14:textId="68B97F57" w:rsidR="000B7631" w:rsidRDefault="000B7631" w:rsidP="009E7583">
            <w:r w:rsidRPr="000B7631">
              <w:t>0.012325</w:t>
            </w:r>
          </w:p>
        </w:tc>
        <w:tc>
          <w:tcPr>
            <w:tcW w:w="1516" w:type="dxa"/>
          </w:tcPr>
          <w:p w14:paraId="09DB7E1F" w14:textId="598D3E36" w:rsidR="000B7631" w:rsidRDefault="000B7631" w:rsidP="009E7583">
            <w:r w:rsidRPr="000B7631">
              <w:t>0.280678</w:t>
            </w:r>
          </w:p>
        </w:tc>
        <w:tc>
          <w:tcPr>
            <w:tcW w:w="2161" w:type="dxa"/>
          </w:tcPr>
          <w:p w14:paraId="4482342B" w14:textId="41D22FFD" w:rsidR="000B7631" w:rsidRDefault="000B7631" w:rsidP="009E7583">
            <w:r>
              <w:t>−0.083579</w:t>
            </w:r>
          </w:p>
        </w:tc>
        <w:tc>
          <w:tcPr>
            <w:tcW w:w="1728" w:type="dxa"/>
          </w:tcPr>
          <w:p w14:paraId="52182558" w14:textId="7F020B5B" w:rsidR="000B7631" w:rsidRDefault="000B7631" w:rsidP="009E7583">
            <w:r>
              <w:t>−0.123239</w:t>
            </w:r>
          </w:p>
        </w:tc>
      </w:tr>
      <w:tr w:rsidR="000B7631" w14:paraId="56EE619E" w14:textId="77777777" w:rsidTr="005665D6">
        <w:trPr>
          <w:trHeight w:val="472"/>
        </w:trPr>
        <w:tc>
          <w:tcPr>
            <w:tcW w:w="1388" w:type="dxa"/>
          </w:tcPr>
          <w:p w14:paraId="2AE144E1" w14:textId="647E3525" w:rsidR="000B7631" w:rsidRDefault="000B7631" w:rsidP="009E7583">
            <w:r>
              <w:t>Sharpe Ratio</w:t>
            </w:r>
          </w:p>
        </w:tc>
        <w:tc>
          <w:tcPr>
            <w:tcW w:w="1949" w:type="dxa"/>
          </w:tcPr>
          <w:p w14:paraId="1F1C35EB" w14:textId="057EC70D" w:rsidR="000B7631" w:rsidRDefault="000B7631" w:rsidP="009E7583">
            <w:r w:rsidRPr="000B7631">
              <w:t>0.130751</w:t>
            </w:r>
          </w:p>
        </w:tc>
        <w:tc>
          <w:tcPr>
            <w:tcW w:w="1516" w:type="dxa"/>
          </w:tcPr>
          <w:p w14:paraId="184D4B78" w14:textId="7EAE5680" w:rsidR="000B7631" w:rsidRDefault="000B7631" w:rsidP="009E7583">
            <w:r w:rsidRPr="000B7631">
              <w:t>0.623133</w:t>
            </w:r>
          </w:p>
        </w:tc>
        <w:tc>
          <w:tcPr>
            <w:tcW w:w="2161" w:type="dxa"/>
          </w:tcPr>
          <w:p w14:paraId="6854FEED" w14:textId="3787D9AC" w:rsidR="000B7631" w:rsidRDefault="000B7631" w:rsidP="009E7583">
            <w:r>
              <w:t>−0.213837</w:t>
            </w:r>
          </w:p>
        </w:tc>
        <w:tc>
          <w:tcPr>
            <w:tcW w:w="1728" w:type="dxa"/>
          </w:tcPr>
          <w:p w14:paraId="1FC4BD1D" w14:textId="0C7AA543" w:rsidR="000B7631" w:rsidRDefault="000B7631" w:rsidP="009E7583">
            <w:r>
              <w:t>−0.461031</w:t>
            </w:r>
          </w:p>
        </w:tc>
      </w:tr>
      <w:tr w:rsidR="000B7631" w14:paraId="689BAD56" w14:textId="77777777" w:rsidTr="005665D6">
        <w:trPr>
          <w:trHeight w:val="472"/>
        </w:trPr>
        <w:tc>
          <w:tcPr>
            <w:tcW w:w="1388" w:type="dxa"/>
          </w:tcPr>
          <w:p w14:paraId="19BB7EE0" w14:textId="73825AC6" w:rsidR="000B7631" w:rsidRDefault="000B7631" w:rsidP="009E7583">
            <w:r>
              <w:t>Std Dev</w:t>
            </w:r>
          </w:p>
        </w:tc>
        <w:tc>
          <w:tcPr>
            <w:tcW w:w="1949" w:type="dxa"/>
          </w:tcPr>
          <w:p w14:paraId="48FF2021" w14:textId="42D0FED4" w:rsidR="000B7631" w:rsidRDefault="000B7631" w:rsidP="009E7583">
            <w:r w:rsidRPr="000B7631">
              <w:t>0.014165</w:t>
            </w:r>
          </w:p>
        </w:tc>
        <w:tc>
          <w:tcPr>
            <w:tcW w:w="1516" w:type="dxa"/>
          </w:tcPr>
          <w:p w14:paraId="7E807A23" w14:textId="39B7F17F" w:rsidR="000B7631" w:rsidRDefault="000B7631" w:rsidP="009E7583">
            <w:r w:rsidRPr="000B7631">
              <w:t>0.009885</w:t>
            </w:r>
          </w:p>
        </w:tc>
        <w:tc>
          <w:tcPr>
            <w:tcW w:w="2161" w:type="dxa"/>
          </w:tcPr>
          <w:p w14:paraId="21DA7CFD" w14:textId="389A4D19" w:rsidR="000B7631" w:rsidRDefault="000B7631" w:rsidP="009E7583">
            <w:r w:rsidRPr="000B7631">
              <w:t>0.007078</w:t>
            </w:r>
          </w:p>
        </w:tc>
        <w:tc>
          <w:tcPr>
            <w:tcW w:w="1728" w:type="dxa"/>
          </w:tcPr>
          <w:p w14:paraId="55F9BB84" w14:textId="152C2AC0" w:rsidR="000B7631" w:rsidRDefault="000B7631" w:rsidP="009E7583">
            <w:r w:rsidRPr="000B7631">
              <w:t>0.005689</w:t>
            </w:r>
          </w:p>
        </w:tc>
      </w:tr>
      <w:tr w:rsidR="000B7631" w14:paraId="6A716ACA" w14:textId="77777777" w:rsidTr="005665D6">
        <w:trPr>
          <w:trHeight w:val="472"/>
        </w:trPr>
        <w:tc>
          <w:tcPr>
            <w:tcW w:w="1388" w:type="dxa"/>
          </w:tcPr>
          <w:p w14:paraId="26F537D7" w14:textId="44BDC535" w:rsidR="000B7631" w:rsidRDefault="000B7631" w:rsidP="009E7583">
            <w:r>
              <w:t>Mean Daily Return</w:t>
            </w:r>
          </w:p>
        </w:tc>
        <w:tc>
          <w:tcPr>
            <w:tcW w:w="1949" w:type="dxa"/>
          </w:tcPr>
          <w:p w14:paraId="286BEBE8" w14:textId="090093F6" w:rsidR="000B7631" w:rsidRDefault="000B7631" w:rsidP="009E7583">
            <w:r w:rsidRPr="000B7631">
              <w:t>0.000117</w:t>
            </w:r>
          </w:p>
        </w:tc>
        <w:tc>
          <w:tcPr>
            <w:tcW w:w="1516" w:type="dxa"/>
          </w:tcPr>
          <w:p w14:paraId="4F45E19F" w14:textId="1DBED005" w:rsidR="000B7631" w:rsidRDefault="000B7631" w:rsidP="009E7583">
            <w:r w:rsidRPr="000B7631">
              <w:t>0.000388</w:t>
            </w:r>
          </w:p>
        </w:tc>
        <w:tc>
          <w:tcPr>
            <w:tcW w:w="2161" w:type="dxa"/>
          </w:tcPr>
          <w:p w14:paraId="46ED6F65" w14:textId="71B67060" w:rsidR="000B7631" w:rsidRDefault="000B7631" w:rsidP="009E7583">
            <w:r>
              <w:t>−0.000095</w:t>
            </w:r>
          </w:p>
        </w:tc>
        <w:tc>
          <w:tcPr>
            <w:tcW w:w="1728" w:type="dxa"/>
          </w:tcPr>
          <w:p w14:paraId="1DD75F58" w14:textId="5822B0EA" w:rsidR="000B7631" w:rsidRDefault="000B7631" w:rsidP="009E7583">
            <w:r>
              <w:t>−0.000165</w:t>
            </w:r>
          </w:p>
        </w:tc>
      </w:tr>
    </w:tbl>
    <w:p w14:paraId="43E123A3" w14:textId="0F7C1507" w:rsidR="005665D6" w:rsidRPr="005665D6" w:rsidRDefault="002B6F60" w:rsidP="005665D6">
      <w:pPr>
        <w:pStyle w:val="FigureCaption"/>
        <w:numPr>
          <w:ilvl w:val="0"/>
          <w:numId w:val="9"/>
        </w:numPr>
        <w:rPr>
          <w:rStyle w:val="CAPS"/>
          <w:caps w:val="0"/>
        </w:rPr>
      </w:pPr>
      <w:r>
        <w:rPr>
          <w:noProof/>
          <w14:ligatures w14:val="none"/>
          <w14:numForm w14:val="default"/>
          <w14:numSpacing w14:val="default"/>
        </w:rPr>
        <w:lastRenderedPageBreak/>
        <w:drawing>
          <wp:anchor distT="0" distB="0" distL="114300" distR="114300" simplePos="0" relativeHeight="251663360" behindDoc="0" locked="0" layoutInCell="1" allowOverlap="1" wp14:anchorId="6DD4CAD0" wp14:editId="67C536D9">
            <wp:simplePos x="0" y="0"/>
            <wp:positionH relativeFrom="column">
              <wp:posOffset>122737</wp:posOffset>
            </wp:positionH>
            <wp:positionV relativeFrom="paragraph">
              <wp:posOffset>0</wp:posOffset>
            </wp:positionV>
            <wp:extent cx="5029200" cy="2514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4384" behindDoc="0" locked="0" layoutInCell="1" allowOverlap="1" wp14:anchorId="2C408302" wp14:editId="63C2B859">
            <wp:simplePos x="0" y="0"/>
            <wp:positionH relativeFrom="column">
              <wp:posOffset>182154</wp:posOffset>
            </wp:positionH>
            <wp:positionV relativeFrom="paragraph">
              <wp:posOffset>3117577</wp:posOffset>
            </wp:positionV>
            <wp:extent cx="5029200" cy="2514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5D6">
        <w:t>In sample Benchmark and Manual Strategy from 2008 through 2009. Blue lines are long entries, and black are short entries.</w:t>
      </w:r>
    </w:p>
    <w:p w14:paraId="55928B1C" w14:textId="5E276D11" w:rsidR="00C20EC6" w:rsidRPr="005665D6" w:rsidRDefault="00C20EC6" w:rsidP="00C20EC6">
      <w:pPr>
        <w:pStyle w:val="FigureCaption"/>
        <w:numPr>
          <w:ilvl w:val="0"/>
          <w:numId w:val="9"/>
        </w:numPr>
        <w:rPr>
          <w:rStyle w:val="CAPS"/>
          <w:caps w:val="0"/>
        </w:rPr>
      </w:pPr>
      <w:r>
        <w:t>Out of sample Benchmark and Manual Strategy from 2010 through 201</w:t>
      </w:r>
      <w:r w:rsidR="00802D50">
        <w:t>1</w:t>
      </w:r>
      <w:r>
        <w:t>. Blue lines are long entries, and black are short entries.</w:t>
      </w:r>
    </w:p>
    <w:p w14:paraId="7E6C95CB" w14:textId="5ADD0FBC" w:rsidR="00C20EC6" w:rsidRDefault="00C20EC6" w:rsidP="00C20EC6">
      <w:r>
        <w:t>The Manual Strategy outperforms the benchmark by about 26.8 percentage points of cumulative return and roughly 4.8x Sharpe ratio in-sample. Out-of-sample, it underperforms the benchmark by only about 4.0 percentage points. This reversal reflects the strategy's implicit assumption that mean-reversion dominates.</w:t>
      </w:r>
    </w:p>
    <w:p w14:paraId="532F4569" w14:textId="329AD04E" w:rsidR="005665D6" w:rsidRDefault="00C20EC6" w:rsidP="00C20EC6">
      <w:r>
        <w:lastRenderedPageBreak/>
        <w:t>The in-sample window contains the 2008 crash, when JPM swung from ~$45 to ~$20 and back. Mean-reversion signals produced high-conviction long entries near the lows and exits near the recovery. The out-of-sample window (Jan 2010 – Dec 2011) is dominated by the European sovereign debt crisis, where JPM declined steadily from ~$45 to ~$30 with lower volatility and weaker mean-reverting behavior. Our indicators kept sending oversold signals into a</w:t>
      </w:r>
      <w:r w:rsidR="002B6F60">
        <w:t xml:space="preserve"> strategy that no longer seemed to work</w:t>
      </w:r>
      <w:r>
        <w:t xml:space="preserve">, and the strategy bled capital. </w:t>
      </w:r>
      <w:r w:rsidR="00802D50">
        <w:t xml:space="preserve">I tuned the rule </w:t>
      </w:r>
      <w:r>
        <w:t xml:space="preserve">to a regime that doesn't repeat. </w:t>
      </w:r>
    </w:p>
    <w:p w14:paraId="3B10777F" w14:textId="488A5CAB" w:rsidR="002B6F60" w:rsidRPr="003F2A55" w:rsidRDefault="002B6F60" w:rsidP="002B6F60">
      <w:pPr>
        <w:pStyle w:val="Heading2"/>
      </w:pPr>
      <w:r>
        <w:rPr>
          <w:noProof/>
        </w:rPr>
        <w:t>Strategy</w:t>
      </w:r>
      <w:r>
        <w:t xml:space="preserve"> Learner</w:t>
      </w:r>
    </w:p>
    <w:p w14:paraId="556A4673" w14:textId="2ED00603" w:rsidR="002B6F60" w:rsidRDefault="002B6F60" w:rsidP="002B6F60">
      <w:r>
        <w:t>We frame the problem as a 3-class classification: for each trading day, predict whether the 10-day forward return will be a “+</w:t>
      </w:r>
      <w:proofErr w:type="gramStart"/>
      <w:r>
        <w:t>1”(</w:t>
      </w:r>
      <w:proofErr w:type="gramEnd"/>
      <w:r>
        <w:t>buy), “-1”(sell), or “0”(hold). Labels are generated by computing “</w:t>
      </w:r>
      <w:proofErr w:type="spellStart"/>
      <w:r>
        <w:t>future_ret</w:t>
      </w:r>
      <w:proofErr w:type="spellEnd"/>
      <w:r>
        <w:t xml:space="preserve"> = </w:t>
      </w:r>
      <w:proofErr w:type="spellStart"/>
      <w:proofErr w:type="gramStart"/>
      <w:r>
        <w:t>prices.shift</w:t>
      </w:r>
      <w:proofErr w:type="spellEnd"/>
      <w:proofErr w:type="gramEnd"/>
      <w:r>
        <w:t>(-10) / prices – 1” and bucketing: “</w:t>
      </w:r>
      <w:proofErr w:type="spellStart"/>
      <w:r>
        <w:t>future_ret</w:t>
      </w:r>
      <w:proofErr w:type="spellEnd"/>
      <w:r>
        <w:t xml:space="preserve"> &gt; </w:t>
      </w:r>
      <w:proofErr w:type="spellStart"/>
      <w:r>
        <w:t>buyHurdle</w:t>
      </w:r>
      <w:proofErr w:type="spellEnd"/>
      <w:r w:rsidR="00E864EC">
        <w:t>”</w:t>
      </w:r>
      <w:r>
        <w:t xml:space="preserve"> </w:t>
      </w:r>
      <w:r>
        <w:rPr>
          <w:rFonts w:ascii="Times New Roman" w:hAnsi="Times New Roman"/>
        </w:rPr>
        <w:t xml:space="preserve">being </w:t>
      </w:r>
      <w:r>
        <w:t xml:space="preserve">+1, </w:t>
      </w:r>
      <w:r w:rsidR="00E864EC">
        <w:t>“</w:t>
      </w:r>
      <w:proofErr w:type="spellStart"/>
      <w:r>
        <w:t>future_ret</w:t>
      </w:r>
      <w:proofErr w:type="spellEnd"/>
      <w:r>
        <w:t xml:space="preserve"> &lt; -</w:t>
      </w:r>
      <w:proofErr w:type="spellStart"/>
      <w:r>
        <w:t>sellHurdle</w:t>
      </w:r>
      <w:proofErr w:type="spellEnd"/>
      <w:r>
        <w:t xml:space="preserve">” </w:t>
      </w:r>
      <w:r>
        <w:rPr>
          <w:rFonts w:ascii="Times New Roman" w:hAnsi="Times New Roman"/>
        </w:rPr>
        <w:t xml:space="preserve">being </w:t>
      </w:r>
      <w:r>
        <w:t xml:space="preserve"> -1, otherwise 0. We set “</w:t>
      </w:r>
      <w:proofErr w:type="spellStart"/>
      <w:r>
        <w:t>buyHurdle</w:t>
      </w:r>
      <w:proofErr w:type="spellEnd"/>
      <w:r>
        <w:t xml:space="preserve"> = </w:t>
      </w:r>
      <w:proofErr w:type="spellStart"/>
      <w:r>
        <w:t>sellHurdle</w:t>
      </w:r>
      <w:proofErr w:type="spellEnd"/>
      <w:r>
        <w:t xml:space="preserve"> = 0.02 + impact”. The 0.02 floor represents a noise threshold. Smaller moves are likely random and would teach the learner to trade on meaningless signal. Scaling with impact makes the labels impact-aware: a higher impact environment requires bigger expected moves before committing capital.</w:t>
      </w:r>
    </w:p>
    <w:p w14:paraId="2B363AC8" w14:textId="25D006EC" w:rsidR="002B6F60" w:rsidRDefault="002B6F60" w:rsidP="002B6F60">
      <w:r>
        <w:t>Features are the same three indicators as Manual Strategy. No standardization is applied: RSI is already bounded in [0,100], Bollinger Band is roughly in [0,1], and EMA ratio is centered near 1.0. Random Trees split on single features at a time and are scale-invariant in the classification setting we use, so normalization provides no benefit.</w:t>
      </w:r>
    </w:p>
    <w:p w14:paraId="38A64A9A" w14:textId="02F9C893" w:rsidR="00DE3F0A" w:rsidRDefault="00DE3F0A" w:rsidP="002B6F60">
      <w:r>
        <w:t>Hyperparameters for my strategy learner:</w:t>
      </w:r>
    </w:p>
    <w:p w14:paraId="300265B0" w14:textId="1CEC41DF" w:rsidR="00DE3F0A" w:rsidRDefault="00DE3F0A" w:rsidP="00DE3F0A">
      <w:pPr>
        <w:pStyle w:val="ListParagraph"/>
        <w:numPr>
          <w:ilvl w:val="1"/>
          <w:numId w:val="7"/>
        </w:numPr>
      </w:pPr>
      <w:r>
        <w:t xml:space="preserve">Learner: </w:t>
      </w:r>
      <w:proofErr w:type="spellStart"/>
      <w:proofErr w:type="gramStart"/>
      <w:r>
        <w:t>BagLearner</w:t>
      </w:r>
      <w:proofErr w:type="spellEnd"/>
      <w:r>
        <w:t>(</w:t>
      </w:r>
      <w:proofErr w:type="gramEnd"/>
      <w:r>
        <w:t>learner=</w:t>
      </w:r>
      <w:proofErr w:type="spellStart"/>
      <w:r>
        <w:t>RTLearner</w:t>
      </w:r>
      <w:proofErr w:type="spellEnd"/>
      <w:r>
        <w:t xml:space="preserve">, </w:t>
      </w:r>
      <w:proofErr w:type="spellStart"/>
      <w:r>
        <w:t>kwargs</w:t>
      </w:r>
      <w:proofErr w:type="spellEnd"/>
      <w:r>
        <w:t>={"</w:t>
      </w:r>
      <w:proofErr w:type="spellStart"/>
      <w:r>
        <w:t>leaf_size</w:t>
      </w:r>
      <w:proofErr w:type="spellEnd"/>
      <w:r>
        <w:t>": 5}, bags=20)  a Random Forest.</w:t>
      </w:r>
    </w:p>
    <w:p w14:paraId="6703D9FE" w14:textId="58C7B882" w:rsidR="00DE3F0A" w:rsidRDefault="00DE3F0A" w:rsidP="00DE3F0A">
      <w:pPr>
        <w:pStyle w:val="ListParagraph"/>
        <w:numPr>
          <w:ilvl w:val="1"/>
          <w:numId w:val="7"/>
        </w:numPr>
      </w:pPr>
      <w:proofErr w:type="spellStart"/>
      <w:r>
        <w:t>leaf_size</w:t>
      </w:r>
      <w:proofErr w:type="spellEnd"/>
      <w:r>
        <w:t xml:space="preserve"> = 5</w:t>
      </w:r>
    </w:p>
    <w:p w14:paraId="19CECE70" w14:textId="76313525" w:rsidR="00DE3F0A" w:rsidRDefault="00DE3F0A" w:rsidP="00DE3F0A">
      <w:pPr>
        <w:pStyle w:val="ListParagraph"/>
        <w:numPr>
          <w:ilvl w:val="1"/>
          <w:numId w:val="7"/>
        </w:numPr>
      </w:pPr>
      <w:r>
        <w:t>bags = 20</w:t>
      </w:r>
    </w:p>
    <w:p w14:paraId="2DD262B9" w14:textId="7BE281F4" w:rsidR="00DE3F0A" w:rsidRDefault="00DE3F0A" w:rsidP="00DE3F0A">
      <w:pPr>
        <w:pStyle w:val="ListParagraph"/>
        <w:numPr>
          <w:ilvl w:val="1"/>
          <w:numId w:val="7"/>
        </w:numPr>
      </w:pPr>
      <w:r>
        <w:t xml:space="preserve">Leaf aggregation: Mode per leaf via </w:t>
      </w:r>
      <w:proofErr w:type="spellStart"/>
      <w:proofErr w:type="gramStart"/>
      <w:r>
        <w:t>np.unique</w:t>
      </w:r>
      <w:proofErr w:type="spellEnd"/>
      <w:proofErr w:type="gramEnd"/>
      <w:r>
        <w:t xml:space="preserve"> + argmax on training labels.</w:t>
      </w:r>
    </w:p>
    <w:p w14:paraId="7B222A58" w14:textId="07443790" w:rsidR="00DE3F0A" w:rsidRDefault="00DE3F0A" w:rsidP="00DE3F0A">
      <w:pPr>
        <w:pStyle w:val="ListParagraph"/>
        <w:numPr>
          <w:ilvl w:val="1"/>
          <w:numId w:val="7"/>
        </w:numPr>
      </w:pPr>
      <w:r>
        <w:t xml:space="preserve">Ensemble aggregation: </w:t>
      </w:r>
      <w:proofErr w:type="spellStart"/>
      <w:proofErr w:type="gramStart"/>
      <w:r>
        <w:t>np.sign</w:t>
      </w:r>
      <w:proofErr w:type="spellEnd"/>
      <w:proofErr w:type="gramEnd"/>
      <w:r>
        <w:t>(</w:t>
      </w:r>
      <w:proofErr w:type="spellStart"/>
      <w:r>
        <w:t>sum_across_bags</w:t>
      </w:r>
      <w:proofErr w:type="spellEnd"/>
      <w:r>
        <w:t>) returns exactly the majority vote over {-1, 0, +1} without floating-point drift.</w:t>
      </w:r>
    </w:p>
    <w:p w14:paraId="439055EA" w14:textId="58280890" w:rsidR="00DE3F0A" w:rsidRDefault="00DE3F0A" w:rsidP="00DE3F0A">
      <w:pPr>
        <w:pStyle w:val="ListParagraph"/>
        <w:numPr>
          <w:ilvl w:val="1"/>
          <w:numId w:val="7"/>
        </w:numPr>
      </w:pPr>
      <w:proofErr w:type="spellStart"/>
      <w:r>
        <w:t>lookAhead</w:t>
      </w:r>
      <w:proofErr w:type="spellEnd"/>
      <w:r>
        <w:t xml:space="preserve"> = 10 days</w:t>
      </w:r>
    </w:p>
    <w:p w14:paraId="656B4EB4" w14:textId="0CC6C196" w:rsidR="009E7583" w:rsidRDefault="009E7583" w:rsidP="009E7583">
      <w:pPr>
        <w:pStyle w:val="Heading2"/>
      </w:pPr>
      <w:r>
        <w:lastRenderedPageBreak/>
        <w:t xml:space="preserve">Experiment </w:t>
      </w:r>
      <w:r w:rsidR="00FD7ADF">
        <w:t>1: Manual vs Strategy Learner</w:t>
      </w:r>
    </w:p>
    <w:p w14:paraId="7D5A5A36" w14:textId="77777777" w:rsidR="00E96DFD" w:rsidRDefault="00E96DFD" w:rsidP="009E7583">
      <w:r>
        <w:t xml:space="preserve">Hypothesis: </w:t>
      </w:r>
      <w:r w:rsidRPr="00E96DFD">
        <w:t>The Strategy Learner will beat the Manual Strategy in-sample because it learns feature combinations from data rather than relying on hand-set thresholds, but it will overfit and underperform out-of-sample more severely than the Manual Strategy.</w:t>
      </w:r>
      <w:r>
        <w:t xml:space="preserve"> </w:t>
      </w:r>
    </w:p>
    <w:p w14:paraId="29E4E9C3" w14:textId="181CFBD5" w:rsidR="00FD7ADF" w:rsidRDefault="00E96DFD" w:rsidP="009E7583">
      <w:r>
        <w:t>In reality, t</w:t>
      </w:r>
      <w:r w:rsidR="00FD7ADF">
        <w:t>hree indicators with two years of training data are not enough signal for the learner to beat a well-tuned rule, and its added flexibility makes it more fragile when the regime shifts.</w:t>
      </w:r>
    </w:p>
    <w:p w14:paraId="485E0BF2" w14:textId="33D41EE4" w:rsidR="00FD7ADF" w:rsidRDefault="00FD7ADF" w:rsidP="009E7583">
      <w:r>
        <w:t>In terms of setup, b</w:t>
      </w:r>
      <w:r w:rsidRPr="00FD7ADF">
        <w:t xml:space="preserve">oth strategies trade JPM with commission = $9.95, impact = 0.005, </w:t>
      </w:r>
      <w:proofErr w:type="spellStart"/>
      <w:r w:rsidRPr="00FD7ADF">
        <w:t>sv</w:t>
      </w:r>
      <w:proofErr w:type="spellEnd"/>
      <w:r w:rsidRPr="00FD7ADF">
        <w:t xml:space="preserve"> = $100,000. The Strategy Learner trains on the in-sample window (2008-01-01 to 2009-12-31) and is then evaluated on both the in-sample and out-of-sample (2010-01-01 to 2011-12-31) windows without retraining. The benchmark is buy-and-hold 1000 shares. Random seed = 903011732 set once in testproject.py.</w:t>
      </w:r>
    </w:p>
    <w:p w14:paraId="19B5C4C3" w14:textId="5BFCB8F2" w:rsidR="00FD7ADF" w:rsidRPr="005665D6" w:rsidRDefault="00FD7ADF" w:rsidP="00FD7ADF">
      <w:pPr>
        <w:rPr>
          <w:u w:val="single"/>
        </w:rPr>
      </w:pPr>
      <w:r w:rsidRPr="005665D6">
        <w:rPr>
          <w:u w:val="single"/>
        </w:rPr>
        <w:t xml:space="preserve">Performance Metrics </w:t>
      </w:r>
      <w:r w:rsidR="00E96DFD">
        <w:rPr>
          <w:u w:val="single"/>
        </w:rPr>
        <w:t xml:space="preserve">Results </w:t>
      </w:r>
      <w:r w:rsidRPr="005665D6">
        <w:rPr>
          <w:u w:val="single"/>
        </w:rPr>
        <w:t>Table:</w:t>
      </w: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1855"/>
        <w:gridCol w:w="2605"/>
        <w:gridCol w:w="2026"/>
        <w:gridCol w:w="2889"/>
      </w:tblGrid>
      <w:tr w:rsidR="00FD7ADF" w14:paraId="2ACAAA29" w14:textId="77777777" w:rsidTr="00FD7ADF">
        <w:trPr>
          <w:trHeight w:val="795"/>
        </w:trPr>
        <w:tc>
          <w:tcPr>
            <w:tcW w:w="1855" w:type="dxa"/>
          </w:tcPr>
          <w:p w14:paraId="6D4A3897" w14:textId="77777777" w:rsidR="00FD7ADF" w:rsidRDefault="00FD7ADF" w:rsidP="00B071DE">
            <w:r>
              <w:t>Metric</w:t>
            </w:r>
          </w:p>
        </w:tc>
        <w:tc>
          <w:tcPr>
            <w:tcW w:w="2605" w:type="dxa"/>
          </w:tcPr>
          <w:p w14:paraId="5369EB32" w14:textId="7E943F99" w:rsidR="00FD7ADF" w:rsidRDefault="00FD7ADF" w:rsidP="00B071DE">
            <w:r w:rsidRPr="000B7631">
              <w:t>Benchmark</w:t>
            </w:r>
          </w:p>
        </w:tc>
        <w:tc>
          <w:tcPr>
            <w:tcW w:w="2026" w:type="dxa"/>
          </w:tcPr>
          <w:p w14:paraId="2170BE33" w14:textId="3BE44E34" w:rsidR="00FD7ADF" w:rsidRDefault="00FD7ADF" w:rsidP="00B071DE">
            <w:r w:rsidRPr="000B7631">
              <w:t>Manual</w:t>
            </w:r>
          </w:p>
        </w:tc>
        <w:tc>
          <w:tcPr>
            <w:tcW w:w="2889" w:type="dxa"/>
          </w:tcPr>
          <w:p w14:paraId="7D3D669E" w14:textId="0E651935" w:rsidR="00FD7ADF" w:rsidRDefault="00FD7ADF" w:rsidP="00B071DE">
            <w:r>
              <w:t>Strategy Learner</w:t>
            </w:r>
          </w:p>
        </w:tc>
      </w:tr>
      <w:tr w:rsidR="00FD7ADF" w14:paraId="331CB5F6" w14:textId="77777777" w:rsidTr="00FD7ADF">
        <w:trPr>
          <w:trHeight w:val="481"/>
        </w:trPr>
        <w:tc>
          <w:tcPr>
            <w:tcW w:w="1855" w:type="dxa"/>
          </w:tcPr>
          <w:p w14:paraId="3BEEC0CF" w14:textId="7AC7EAA9" w:rsidR="00FD7ADF" w:rsidRDefault="00FD7ADF" w:rsidP="00B071DE">
            <w:r>
              <w:t>In-Sample Cumulative Return</w:t>
            </w:r>
          </w:p>
        </w:tc>
        <w:tc>
          <w:tcPr>
            <w:tcW w:w="2605" w:type="dxa"/>
          </w:tcPr>
          <w:p w14:paraId="51679DD7" w14:textId="1A12D2DB" w:rsidR="00FD7ADF" w:rsidRDefault="00FD7ADF" w:rsidP="00B071DE">
            <w:r>
              <w:t>0.012325</w:t>
            </w:r>
          </w:p>
        </w:tc>
        <w:tc>
          <w:tcPr>
            <w:tcW w:w="2026" w:type="dxa"/>
          </w:tcPr>
          <w:p w14:paraId="0F1F1661" w14:textId="01AD04EF" w:rsidR="00FD7ADF" w:rsidRDefault="00FD7ADF" w:rsidP="00B071DE">
            <w:r w:rsidRPr="00FD7ADF">
              <w:t>0.280678</w:t>
            </w:r>
          </w:p>
        </w:tc>
        <w:tc>
          <w:tcPr>
            <w:tcW w:w="2889" w:type="dxa"/>
          </w:tcPr>
          <w:p w14:paraId="36AA2F7A" w14:textId="2D63321F" w:rsidR="00FD7ADF" w:rsidRDefault="00FD7ADF" w:rsidP="00B071DE">
            <w:r w:rsidRPr="00FD7ADF">
              <w:t>0.220953</w:t>
            </w:r>
          </w:p>
        </w:tc>
      </w:tr>
      <w:tr w:rsidR="00FD7ADF" w14:paraId="4020C40B" w14:textId="77777777" w:rsidTr="00FD7ADF">
        <w:trPr>
          <w:trHeight w:val="468"/>
        </w:trPr>
        <w:tc>
          <w:tcPr>
            <w:tcW w:w="1855" w:type="dxa"/>
          </w:tcPr>
          <w:p w14:paraId="6F7D5AC2" w14:textId="462BEEA5" w:rsidR="00FD7ADF" w:rsidRDefault="00FD7ADF" w:rsidP="00B071DE">
            <w:r>
              <w:t>In-Sample Sharpe</w:t>
            </w:r>
          </w:p>
        </w:tc>
        <w:tc>
          <w:tcPr>
            <w:tcW w:w="2605" w:type="dxa"/>
          </w:tcPr>
          <w:p w14:paraId="370FADC0" w14:textId="042EB5D0" w:rsidR="00FD7ADF" w:rsidRDefault="00FD7ADF" w:rsidP="00B071DE">
            <w:r w:rsidRPr="00FD7ADF">
              <w:t>0.130751</w:t>
            </w:r>
          </w:p>
        </w:tc>
        <w:tc>
          <w:tcPr>
            <w:tcW w:w="2026" w:type="dxa"/>
          </w:tcPr>
          <w:p w14:paraId="6F898087" w14:textId="77777777" w:rsidR="00FD7ADF" w:rsidRDefault="00FD7ADF" w:rsidP="00B071DE">
            <w:r w:rsidRPr="000B7631">
              <w:t>0.623133</w:t>
            </w:r>
          </w:p>
        </w:tc>
        <w:tc>
          <w:tcPr>
            <w:tcW w:w="2889" w:type="dxa"/>
          </w:tcPr>
          <w:p w14:paraId="0914BCD3" w14:textId="4E790E3A" w:rsidR="00FD7ADF" w:rsidRDefault="00FD7ADF" w:rsidP="00B071DE">
            <w:r w:rsidRPr="00FD7ADF">
              <w:t>0.451447</w:t>
            </w:r>
          </w:p>
        </w:tc>
      </w:tr>
      <w:tr w:rsidR="00FD7ADF" w14:paraId="6C640E9D" w14:textId="77777777" w:rsidTr="00FD7ADF">
        <w:trPr>
          <w:trHeight w:val="468"/>
        </w:trPr>
        <w:tc>
          <w:tcPr>
            <w:tcW w:w="1855" w:type="dxa"/>
          </w:tcPr>
          <w:p w14:paraId="440DB03D" w14:textId="416D2051" w:rsidR="00FD7ADF" w:rsidRDefault="00FD7ADF" w:rsidP="00B071DE">
            <w:r>
              <w:t>Out-of-Sample Cumulative Return</w:t>
            </w:r>
          </w:p>
        </w:tc>
        <w:tc>
          <w:tcPr>
            <w:tcW w:w="2605" w:type="dxa"/>
          </w:tcPr>
          <w:p w14:paraId="5C2EF09F" w14:textId="2613DED1" w:rsidR="00FD7ADF" w:rsidRDefault="00FD7ADF" w:rsidP="00B071DE">
            <w:r w:rsidRPr="00FD7ADF">
              <w:t>−0.083579</w:t>
            </w:r>
          </w:p>
        </w:tc>
        <w:tc>
          <w:tcPr>
            <w:tcW w:w="2026" w:type="dxa"/>
          </w:tcPr>
          <w:p w14:paraId="0FD1E326" w14:textId="73DBA9B3" w:rsidR="00FD7ADF" w:rsidRDefault="00FD7ADF" w:rsidP="00B071DE">
            <w:r w:rsidRPr="00FD7ADF">
              <w:t>−0.123239</w:t>
            </w:r>
          </w:p>
        </w:tc>
        <w:tc>
          <w:tcPr>
            <w:tcW w:w="2889" w:type="dxa"/>
          </w:tcPr>
          <w:p w14:paraId="0203E50D" w14:textId="02B12684" w:rsidR="00FD7ADF" w:rsidRDefault="00FD7ADF" w:rsidP="00B071DE">
            <w:r w:rsidRPr="00FD7ADF">
              <w:t>−0.450157</w:t>
            </w:r>
          </w:p>
        </w:tc>
      </w:tr>
      <w:tr w:rsidR="00FD7ADF" w14:paraId="36745054" w14:textId="77777777" w:rsidTr="00FD7ADF">
        <w:trPr>
          <w:trHeight w:val="468"/>
        </w:trPr>
        <w:tc>
          <w:tcPr>
            <w:tcW w:w="1855" w:type="dxa"/>
          </w:tcPr>
          <w:p w14:paraId="559187BB" w14:textId="45F33469" w:rsidR="00FD7ADF" w:rsidRDefault="00FD7ADF" w:rsidP="00B071DE">
            <w:r>
              <w:t>Out-of-Sample Sharpe</w:t>
            </w:r>
          </w:p>
        </w:tc>
        <w:tc>
          <w:tcPr>
            <w:tcW w:w="2605" w:type="dxa"/>
          </w:tcPr>
          <w:p w14:paraId="4B1103F3" w14:textId="27BAB917" w:rsidR="00FD7ADF" w:rsidRDefault="00FD7ADF" w:rsidP="00B071DE">
            <w:r w:rsidRPr="00FD7ADF">
              <w:t>−0.213837</w:t>
            </w:r>
          </w:p>
        </w:tc>
        <w:tc>
          <w:tcPr>
            <w:tcW w:w="2026" w:type="dxa"/>
          </w:tcPr>
          <w:p w14:paraId="66D15425" w14:textId="071C43E6" w:rsidR="00FD7ADF" w:rsidRDefault="00FD7ADF" w:rsidP="00B071DE">
            <w:r w:rsidRPr="00FD7ADF">
              <w:t>−0.461031</w:t>
            </w:r>
          </w:p>
        </w:tc>
        <w:tc>
          <w:tcPr>
            <w:tcW w:w="2889" w:type="dxa"/>
          </w:tcPr>
          <w:p w14:paraId="07960B9A" w14:textId="5B22FB81" w:rsidR="00FD7ADF" w:rsidRDefault="00FD7ADF" w:rsidP="00B071DE">
            <w:r w:rsidRPr="00FD7ADF">
              <w:t>−1.303026</w:t>
            </w:r>
          </w:p>
        </w:tc>
      </w:tr>
    </w:tbl>
    <w:p w14:paraId="4B959237" w14:textId="468839B5" w:rsidR="00FD7ADF" w:rsidRDefault="00A80F7C" w:rsidP="00FD7ADF">
      <w:pPr>
        <w:pStyle w:val="FigureCaption"/>
      </w:pPr>
      <w:r>
        <w:rPr>
          <w:noProof/>
          <w14:ligatures w14:val="none"/>
          <w14:numForm w14:val="default"/>
          <w14:numSpacing w14:val="default"/>
        </w:rPr>
        <w:lastRenderedPageBreak/>
        <w:drawing>
          <wp:anchor distT="0" distB="0" distL="114300" distR="114300" simplePos="0" relativeHeight="251665408" behindDoc="0" locked="0" layoutInCell="1" allowOverlap="1" wp14:anchorId="0621C6DA" wp14:editId="4BF7EF43">
            <wp:simplePos x="0" y="0"/>
            <wp:positionH relativeFrom="column">
              <wp:posOffset>-3233</wp:posOffset>
            </wp:positionH>
            <wp:positionV relativeFrom="paragraph">
              <wp:posOffset>62346</wp:posOffset>
            </wp:positionV>
            <wp:extent cx="5029200" cy="2514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BDF">
        <w:t>Manual, Benchmark, and Random Forest Strategies all overlayed in-sample period from 2008 through 2009</w:t>
      </w:r>
    </w:p>
    <w:p w14:paraId="2DF1361D" w14:textId="713C2F4C" w:rsidR="00FD7ADF" w:rsidRDefault="00FD7ADF" w:rsidP="009E7583"/>
    <w:p w14:paraId="69DE6E39" w14:textId="772B0E1E" w:rsidR="00FD7ADF" w:rsidRDefault="00FD7ADF" w:rsidP="009E7583"/>
    <w:p w14:paraId="35380AA3" w14:textId="0E897C56" w:rsidR="00FD7ADF" w:rsidRDefault="00FD7ADF" w:rsidP="009E7583">
      <w:r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7456" behindDoc="0" locked="0" layoutInCell="1" allowOverlap="1" wp14:anchorId="4B739634" wp14:editId="2C56341D">
            <wp:simplePos x="0" y="0"/>
            <wp:positionH relativeFrom="column">
              <wp:posOffset>0</wp:posOffset>
            </wp:positionH>
            <wp:positionV relativeFrom="paragraph">
              <wp:posOffset>322580</wp:posOffset>
            </wp:positionV>
            <wp:extent cx="5029200" cy="2514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7B04C" w14:textId="0EBB3670" w:rsidR="00FD7ADF" w:rsidRDefault="00626BDF" w:rsidP="00626BDF">
      <w:pPr>
        <w:pStyle w:val="FigureCaption"/>
      </w:pPr>
      <w:r>
        <w:t>Manual, Benchmark, and Random Forest Strategies all overlayed out-</w:t>
      </w:r>
      <w:r w:rsidR="00802D50">
        <w:t>of-</w:t>
      </w:r>
      <w:r>
        <w:t>sample period from 2010 through 201</w:t>
      </w:r>
      <w:r w:rsidR="00DE3F0A">
        <w:t>1</w:t>
      </w:r>
    </w:p>
    <w:p w14:paraId="0CE2D238" w14:textId="467AF924" w:rsidR="00626BDF" w:rsidRDefault="00626BDF" w:rsidP="009E7583">
      <w:r w:rsidRPr="00626BDF">
        <w:t xml:space="preserve">In-sample, the Strategy Learner returns 22.1% versus the Manual Strategy's 28.1% and the Benchmark's 1.2%. Both beat the benchmark, but the learner does not extract more signal than the hand-built vote aggregator over this window. </w:t>
      </w:r>
      <w:r w:rsidRPr="00626BDF">
        <w:lastRenderedPageBreak/>
        <w:t>Out-of-sample, the learner's cumulative return collapses to -45.0% versus Manual's -12.3% and Benchmark's -8.4%, a loss roughly 5.4x the benchmark's. This confirms that three indicators with about 500 training days are not enough signal for the Random Forest to generalize to a regime it was not trained on.</w:t>
      </w:r>
    </w:p>
    <w:p w14:paraId="5793C21A" w14:textId="5CBDD5A9" w:rsidR="00626BDF" w:rsidRDefault="00626BDF" w:rsidP="009E7583">
      <w:r>
        <w:t>The behavior of the in-sample results depends on the specific bootstrap samples and split features each bag picks. A different seed would shift the numbers modestly, and on some seeds the learner could plausibly edge above the Manual Strategy. The out-of-sample degradation ordering (Benchmark &gt; Manual &gt; Learner) is expected to persist across seeds because a 20-tree random forest has far more flexibility to memorize 2008 crash patterns than a 6-threshold rule, which makes it the more fragile of the two when the regime shifts.</w:t>
      </w:r>
    </w:p>
    <w:p w14:paraId="4F046F3C" w14:textId="55DE5C2E" w:rsidR="00626BDF" w:rsidRDefault="00626BDF" w:rsidP="00626BDF">
      <w:pPr>
        <w:pStyle w:val="Heading2"/>
      </w:pPr>
      <w:r>
        <w:t>Experiment 2: Impact Sensitivity</w:t>
      </w:r>
    </w:p>
    <w:p w14:paraId="2FDF9F2B" w14:textId="112E182E" w:rsidR="00626BDF" w:rsidRDefault="00E96DFD" w:rsidP="00626BDF">
      <w:r>
        <w:t>Hypothesis: a</w:t>
      </w:r>
      <w:r w:rsidR="00626BDF">
        <w:t>s impact rises, the label-generation thresholds “</w:t>
      </w:r>
      <w:proofErr w:type="spellStart"/>
      <w:r w:rsidR="00626BDF">
        <w:t>buyHurdle</w:t>
      </w:r>
      <w:proofErr w:type="spellEnd"/>
      <w:r w:rsidR="00626BDF">
        <w:t xml:space="preserve"> = </w:t>
      </w:r>
      <w:proofErr w:type="spellStart"/>
      <w:r w:rsidR="00626BDF">
        <w:t>sellHurdle</w:t>
      </w:r>
      <w:proofErr w:type="spellEnd"/>
      <w:r w:rsidR="00626BDF">
        <w:t xml:space="preserve"> = 0.02 + impact” grow, fewer training days qualify as confident +1/−1 labels, and the learner's predicted trades respond to a noisier signal. The following occurs</w:t>
      </w:r>
      <w:r w:rsidR="00802D50">
        <w:t>:</w:t>
      </w:r>
    </w:p>
    <w:p w14:paraId="61C562F5" w14:textId="77777777" w:rsidR="00626BDF" w:rsidRDefault="00626BDF" w:rsidP="00626BDF">
      <w:pPr>
        <w:pStyle w:val="ListParagraph"/>
        <w:numPr>
          <w:ilvl w:val="0"/>
          <w:numId w:val="12"/>
        </w:numPr>
      </w:pPr>
      <w:r>
        <w:t>Cumulative return decreases monotonically with impact</w:t>
      </w:r>
    </w:p>
    <w:p w14:paraId="17544B9C" w14:textId="71861C10" w:rsidR="00626BDF" w:rsidRDefault="00626BDF" w:rsidP="00626BDF">
      <w:pPr>
        <w:pStyle w:val="ListParagraph"/>
        <w:numPr>
          <w:ilvl w:val="0"/>
          <w:numId w:val="12"/>
        </w:numPr>
      </w:pPr>
      <w:r>
        <w:t xml:space="preserve">The number of trades </w:t>
      </w:r>
      <w:r w:rsidR="00C745A1">
        <w:t>should decrease as hurdles filter marginal labels.</w:t>
      </w:r>
    </w:p>
    <w:p w14:paraId="799DEA37" w14:textId="21F09313" w:rsidR="00FD7ADF" w:rsidRDefault="00CF0CBE" w:rsidP="00626BDF">
      <w:r>
        <w:t xml:space="preserve">In terms of setup, we followed </w:t>
      </w:r>
      <w:r w:rsidR="00626BDF">
        <w:t>JPM in-sample only (2008-01-01 to 2009-12-31), commission = $0.00</w:t>
      </w:r>
      <w:r>
        <w:t xml:space="preserve">, </w:t>
      </w:r>
      <w:r w:rsidR="00626BDF">
        <w:t xml:space="preserve">starting value = $100,000. Four impact values tested: 0.0, 0.005, 0.01, 0.05. For each impact, a fresh </w:t>
      </w:r>
      <w:proofErr w:type="spellStart"/>
      <w:r w:rsidR="00626BDF">
        <w:t>StrategyLearner</w:t>
      </w:r>
      <w:proofErr w:type="spellEnd"/>
      <w:r w:rsidR="00626BDF">
        <w:t xml:space="preserve"> is trained and evaluated. </w:t>
      </w:r>
      <w:r>
        <w:t>I captured four measurements per metric: cumulative return, number of trades, Sharpe, and Standard Deviation.</w:t>
      </w:r>
    </w:p>
    <w:p w14:paraId="20489EB3" w14:textId="58975B8F" w:rsidR="00CF0CBE" w:rsidRPr="00E96DFD" w:rsidRDefault="00E96DFD" w:rsidP="00626BDF">
      <w:pPr>
        <w:rPr>
          <w:u w:val="single"/>
        </w:rPr>
      </w:pPr>
      <w:r w:rsidRPr="005665D6">
        <w:rPr>
          <w:u w:val="single"/>
        </w:rPr>
        <w:t xml:space="preserve">Performance Metrics </w:t>
      </w:r>
      <w:r>
        <w:rPr>
          <w:u w:val="single"/>
        </w:rPr>
        <w:t xml:space="preserve">Results </w:t>
      </w:r>
      <w:r w:rsidRPr="005665D6">
        <w:rPr>
          <w:u w:val="single"/>
        </w:rPr>
        <w:t>Table:</w:t>
      </w:r>
    </w:p>
    <w:tbl>
      <w:tblPr>
        <w:tblStyle w:val="TableGrid"/>
        <w:tblW w:w="9166" w:type="dxa"/>
        <w:tblInd w:w="-627" w:type="dxa"/>
        <w:tblLook w:val="04A0" w:firstRow="1" w:lastRow="0" w:firstColumn="1" w:lastColumn="0" w:noHBand="0" w:noVBand="1"/>
      </w:tblPr>
      <w:tblGrid>
        <w:gridCol w:w="1388"/>
        <w:gridCol w:w="1932"/>
        <w:gridCol w:w="1505"/>
        <w:gridCol w:w="1827"/>
        <w:gridCol w:w="2514"/>
      </w:tblGrid>
      <w:tr w:rsidR="00CF0CBE" w14:paraId="14D8F5B6" w14:textId="37EAA699" w:rsidTr="00CF0CBE">
        <w:trPr>
          <w:trHeight w:val="780"/>
        </w:trPr>
        <w:tc>
          <w:tcPr>
            <w:tcW w:w="1388" w:type="dxa"/>
          </w:tcPr>
          <w:p w14:paraId="20DE9B8B" w14:textId="3798E8AF" w:rsidR="00CF0CBE" w:rsidRDefault="00CF0CBE" w:rsidP="00B071DE">
            <w:r>
              <w:t>Impact</w:t>
            </w:r>
          </w:p>
        </w:tc>
        <w:tc>
          <w:tcPr>
            <w:tcW w:w="1932" w:type="dxa"/>
          </w:tcPr>
          <w:p w14:paraId="1701E86F" w14:textId="0D6AFB23" w:rsidR="00CF0CBE" w:rsidRDefault="00CF0CBE" w:rsidP="00B071DE">
            <w:r>
              <w:t>Cumulative Return</w:t>
            </w:r>
          </w:p>
        </w:tc>
        <w:tc>
          <w:tcPr>
            <w:tcW w:w="1505" w:type="dxa"/>
          </w:tcPr>
          <w:p w14:paraId="3F3EA1FF" w14:textId="1F986443" w:rsidR="00CF0CBE" w:rsidRDefault="00CF0CBE" w:rsidP="00B071DE">
            <w:r>
              <w:t># Trades</w:t>
            </w:r>
          </w:p>
        </w:tc>
        <w:tc>
          <w:tcPr>
            <w:tcW w:w="1827" w:type="dxa"/>
          </w:tcPr>
          <w:p w14:paraId="60D98BE7" w14:textId="149C49DE" w:rsidR="00CF0CBE" w:rsidRDefault="00CF0CBE" w:rsidP="00B071DE">
            <w:r>
              <w:t>Sharpe</w:t>
            </w:r>
          </w:p>
        </w:tc>
        <w:tc>
          <w:tcPr>
            <w:tcW w:w="2514" w:type="dxa"/>
          </w:tcPr>
          <w:p w14:paraId="4006199E" w14:textId="36DD2C5F" w:rsidR="00CF0CBE" w:rsidRDefault="00CF0CBE" w:rsidP="00B071DE">
            <w:r>
              <w:t>Standard Deviation</w:t>
            </w:r>
          </w:p>
        </w:tc>
      </w:tr>
      <w:tr w:rsidR="00CF0CBE" w14:paraId="03B335EC" w14:textId="45119AAA" w:rsidTr="00CF0CBE">
        <w:trPr>
          <w:trHeight w:val="472"/>
        </w:trPr>
        <w:tc>
          <w:tcPr>
            <w:tcW w:w="1388" w:type="dxa"/>
          </w:tcPr>
          <w:p w14:paraId="625703F5" w14:textId="6438088E" w:rsidR="00CF0CBE" w:rsidRDefault="00CF0CBE" w:rsidP="00B071DE">
            <w:r>
              <w:t>0</w:t>
            </w:r>
          </w:p>
        </w:tc>
        <w:tc>
          <w:tcPr>
            <w:tcW w:w="1932" w:type="dxa"/>
          </w:tcPr>
          <w:p w14:paraId="3F3FBABA" w14:textId="4402F5EA" w:rsidR="00CF0CBE" w:rsidRDefault="00CF0CBE" w:rsidP="00B071DE">
            <w:r>
              <w:t>1.118000</w:t>
            </w:r>
          </w:p>
        </w:tc>
        <w:tc>
          <w:tcPr>
            <w:tcW w:w="1505" w:type="dxa"/>
          </w:tcPr>
          <w:p w14:paraId="0AEB3A8E" w14:textId="6A10F066" w:rsidR="00CF0CBE" w:rsidRDefault="00CF0CBE" w:rsidP="00B071DE">
            <w:r w:rsidRPr="00CF0CBE">
              <w:t>126</w:t>
            </w:r>
          </w:p>
        </w:tc>
        <w:tc>
          <w:tcPr>
            <w:tcW w:w="1827" w:type="dxa"/>
          </w:tcPr>
          <w:p w14:paraId="7D3209E9" w14:textId="65481E21" w:rsidR="00CF0CBE" w:rsidRDefault="00CF0CBE" w:rsidP="00B071DE">
            <w:r w:rsidRPr="00CF0CBE">
              <w:t>1.779230</w:t>
            </w:r>
          </w:p>
        </w:tc>
        <w:tc>
          <w:tcPr>
            <w:tcW w:w="2514" w:type="dxa"/>
          </w:tcPr>
          <w:p w14:paraId="4F67448C" w14:textId="2E6E7051" w:rsidR="00CF0CBE" w:rsidRPr="00FD7ADF" w:rsidRDefault="00CF0CBE" w:rsidP="00B071DE">
            <w:r w:rsidRPr="00CF0CBE">
              <w:t>0.009599</w:t>
            </w:r>
          </w:p>
        </w:tc>
      </w:tr>
      <w:tr w:rsidR="00CF0CBE" w14:paraId="683BC852" w14:textId="47BD9210" w:rsidTr="00CF0CBE">
        <w:trPr>
          <w:trHeight w:val="459"/>
        </w:trPr>
        <w:tc>
          <w:tcPr>
            <w:tcW w:w="1388" w:type="dxa"/>
          </w:tcPr>
          <w:p w14:paraId="0D283F08" w14:textId="30FBB32C" w:rsidR="00CF0CBE" w:rsidRDefault="00CF0CBE" w:rsidP="00B071DE">
            <w:r>
              <w:t>0.005</w:t>
            </w:r>
          </w:p>
        </w:tc>
        <w:tc>
          <w:tcPr>
            <w:tcW w:w="1932" w:type="dxa"/>
          </w:tcPr>
          <w:p w14:paraId="5C06D465" w14:textId="377CCB67" w:rsidR="00CF0CBE" w:rsidRDefault="00CF0CBE" w:rsidP="00B071DE">
            <w:r w:rsidRPr="00CF0CBE">
              <w:t>0.322718</w:t>
            </w:r>
          </w:p>
        </w:tc>
        <w:tc>
          <w:tcPr>
            <w:tcW w:w="1505" w:type="dxa"/>
          </w:tcPr>
          <w:p w14:paraId="0D0F1344" w14:textId="31189621" w:rsidR="00CF0CBE" w:rsidRDefault="00CF0CBE" w:rsidP="00B071DE">
            <w:r w:rsidRPr="00CF0CBE">
              <w:t>147</w:t>
            </w:r>
          </w:p>
        </w:tc>
        <w:tc>
          <w:tcPr>
            <w:tcW w:w="1827" w:type="dxa"/>
          </w:tcPr>
          <w:p w14:paraId="1662D2C0" w14:textId="74B025CF" w:rsidR="00CF0CBE" w:rsidRDefault="00CF0CBE" w:rsidP="00B071DE">
            <w:r w:rsidRPr="00CF0CBE">
              <w:t>0.670780</w:t>
            </w:r>
          </w:p>
        </w:tc>
        <w:tc>
          <w:tcPr>
            <w:tcW w:w="2514" w:type="dxa"/>
          </w:tcPr>
          <w:p w14:paraId="4E995C88" w14:textId="69114029" w:rsidR="00CF0CBE" w:rsidRPr="00FD7ADF" w:rsidRDefault="00CF0CBE" w:rsidP="00B071DE">
            <w:r w:rsidRPr="00CF0CBE">
              <w:t>0.010346</w:t>
            </w:r>
          </w:p>
        </w:tc>
      </w:tr>
      <w:tr w:rsidR="00CF0CBE" w14:paraId="66A40F56" w14:textId="6C7FBCBF" w:rsidTr="00CF0CBE">
        <w:trPr>
          <w:trHeight w:val="459"/>
        </w:trPr>
        <w:tc>
          <w:tcPr>
            <w:tcW w:w="1388" w:type="dxa"/>
          </w:tcPr>
          <w:p w14:paraId="5880D0F2" w14:textId="5944D205" w:rsidR="00CF0CBE" w:rsidRDefault="00CF0CBE" w:rsidP="00B071DE">
            <w:r w:rsidRPr="00CF0CBE">
              <w:t>0.010</w:t>
            </w:r>
          </w:p>
        </w:tc>
        <w:tc>
          <w:tcPr>
            <w:tcW w:w="1932" w:type="dxa"/>
          </w:tcPr>
          <w:p w14:paraId="60DCC7FA" w14:textId="18F580FB" w:rsidR="00CF0CBE" w:rsidRDefault="00CF0CBE" w:rsidP="00B071DE">
            <w:r w:rsidRPr="00CF0CBE">
              <w:t>0.144561</w:t>
            </w:r>
          </w:p>
        </w:tc>
        <w:tc>
          <w:tcPr>
            <w:tcW w:w="1505" w:type="dxa"/>
          </w:tcPr>
          <w:p w14:paraId="10F0A986" w14:textId="31615886" w:rsidR="00CF0CBE" w:rsidRDefault="00CF0CBE" w:rsidP="00B071DE">
            <w:r w:rsidRPr="00CF0CBE">
              <w:t>147</w:t>
            </w:r>
          </w:p>
        </w:tc>
        <w:tc>
          <w:tcPr>
            <w:tcW w:w="1827" w:type="dxa"/>
          </w:tcPr>
          <w:p w14:paraId="7BA43C23" w14:textId="42BB832A" w:rsidR="00CF0CBE" w:rsidRDefault="00CF0CBE" w:rsidP="00B071DE">
            <w:r w:rsidRPr="00CF0CBE">
              <w:t>0.327028</w:t>
            </w:r>
          </w:p>
        </w:tc>
        <w:tc>
          <w:tcPr>
            <w:tcW w:w="2514" w:type="dxa"/>
          </w:tcPr>
          <w:p w14:paraId="7B78E870" w14:textId="435CF4F9" w:rsidR="00CF0CBE" w:rsidRPr="00FD7ADF" w:rsidRDefault="00CF0CBE" w:rsidP="00B071DE">
            <w:r w:rsidRPr="00CF0CBE">
              <w:t>0.013217</w:t>
            </w:r>
          </w:p>
        </w:tc>
      </w:tr>
      <w:tr w:rsidR="00CF0CBE" w14:paraId="2ECBBEC8" w14:textId="687A1708" w:rsidTr="00CF0CBE">
        <w:trPr>
          <w:trHeight w:val="459"/>
        </w:trPr>
        <w:tc>
          <w:tcPr>
            <w:tcW w:w="1388" w:type="dxa"/>
          </w:tcPr>
          <w:p w14:paraId="3EED4390" w14:textId="1A0110C6" w:rsidR="00CF0CBE" w:rsidRDefault="00CF0CBE" w:rsidP="00B071DE">
            <w:r w:rsidRPr="00CF0CBE">
              <w:lastRenderedPageBreak/>
              <w:t>0.050</w:t>
            </w:r>
          </w:p>
        </w:tc>
        <w:tc>
          <w:tcPr>
            <w:tcW w:w="1932" w:type="dxa"/>
          </w:tcPr>
          <w:p w14:paraId="2F45C5AD" w14:textId="67F442BC" w:rsidR="00CF0CBE" w:rsidRDefault="00CF0CBE" w:rsidP="00B071DE">
            <w:r w:rsidRPr="00CF0CBE">
              <w:t>−4.910980</w:t>
            </w:r>
          </w:p>
        </w:tc>
        <w:tc>
          <w:tcPr>
            <w:tcW w:w="1505" w:type="dxa"/>
          </w:tcPr>
          <w:p w14:paraId="22BD59F0" w14:textId="6B088FE6" w:rsidR="00CF0CBE" w:rsidRDefault="00CF0CBE" w:rsidP="00B071DE">
            <w:r w:rsidRPr="00CF0CBE">
              <w:t>186</w:t>
            </w:r>
          </w:p>
        </w:tc>
        <w:tc>
          <w:tcPr>
            <w:tcW w:w="1827" w:type="dxa"/>
          </w:tcPr>
          <w:p w14:paraId="553008BB" w14:textId="46E49281" w:rsidR="00CF0CBE" w:rsidRDefault="00CF0CBE" w:rsidP="00B071DE">
            <w:r w:rsidRPr="00CF0CBE">
              <w:t>0.030316</w:t>
            </w:r>
          </w:p>
        </w:tc>
        <w:tc>
          <w:tcPr>
            <w:tcW w:w="2514" w:type="dxa"/>
          </w:tcPr>
          <w:p w14:paraId="2ED281F9" w14:textId="4A162CD9" w:rsidR="00CF0CBE" w:rsidRPr="00FD7ADF" w:rsidRDefault="00CF0CBE" w:rsidP="00B071DE">
            <w:r w:rsidRPr="00CF0CBE">
              <w:t>0.691849</w:t>
            </w:r>
          </w:p>
        </w:tc>
      </w:tr>
    </w:tbl>
    <w:p w14:paraId="2A3CFAF6" w14:textId="2855A662" w:rsidR="00CF0CBE" w:rsidRDefault="00CF0CBE" w:rsidP="009E7583"/>
    <w:p w14:paraId="4AB69367" w14:textId="16A21F9A" w:rsidR="00F2159B" w:rsidRDefault="00F2159B" w:rsidP="00CF0CBE">
      <w:pPr>
        <w:pStyle w:val="FigureCaption"/>
      </w:pPr>
      <w:r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9504" behindDoc="1" locked="0" layoutInCell="1" allowOverlap="1" wp14:anchorId="026340EB" wp14:editId="72DED97E">
            <wp:simplePos x="0" y="0"/>
            <wp:positionH relativeFrom="column">
              <wp:posOffset>48260</wp:posOffset>
            </wp:positionH>
            <wp:positionV relativeFrom="paragraph">
              <wp:posOffset>3367116</wp:posOffset>
            </wp:positionV>
            <wp:extent cx="5029200" cy="2095500"/>
            <wp:effectExtent l="0" t="0" r="0" b="0"/>
            <wp:wrapTight wrapText="bothSides">
              <wp:wrapPolygon edited="0">
                <wp:start x="0" y="0"/>
                <wp:lineTo x="0" y="21469"/>
                <wp:lineTo x="21545" y="21469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CBE">
        <w:rPr>
          <w:noProof/>
          <w14:ligatures w14:val="none"/>
          <w14:numForm w14:val="default"/>
          <w14:numSpacing w14:val="default"/>
        </w:rPr>
        <w:drawing>
          <wp:anchor distT="0" distB="0" distL="114300" distR="114300" simplePos="0" relativeHeight="251668480" behindDoc="1" locked="0" layoutInCell="1" allowOverlap="1" wp14:anchorId="48C3EF8F" wp14:editId="05CAB872">
            <wp:simplePos x="0" y="0"/>
            <wp:positionH relativeFrom="column">
              <wp:posOffset>185420</wp:posOffset>
            </wp:positionH>
            <wp:positionV relativeFrom="paragraph">
              <wp:posOffset>-58</wp:posOffset>
            </wp:positionV>
            <wp:extent cx="5029200" cy="2514600"/>
            <wp:effectExtent l="0" t="0" r="0" b="0"/>
            <wp:wrapTight wrapText="bothSides">
              <wp:wrapPolygon edited="0">
                <wp:start x="0" y="0"/>
                <wp:lineTo x="0" y="21491"/>
                <wp:lineTo x="21545" y="21491"/>
                <wp:lineTo x="2154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CBE" w:rsidRPr="00CF0CBE">
        <w:t xml:space="preserve"> </w:t>
      </w:r>
      <w:r>
        <w:t>Portfolio value from 2008 through 20</w:t>
      </w:r>
      <w:r w:rsidR="00802D50">
        <w:t>09</w:t>
      </w:r>
      <w:r>
        <w:t xml:space="preserve"> as impact varies from 0 to 0.05.</w:t>
      </w:r>
    </w:p>
    <w:p w14:paraId="05CC9071" w14:textId="6E298A96" w:rsidR="00CF0CBE" w:rsidRDefault="00F2159B" w:rsidP="00F2159B">
      <w:pPr>
        <w:pStyle w:val="FigureCaption"/>
        <w:numPr>
          <w:ilvl w:val="0"/>
          <w:numId w:val="0"/>
        </w:numPr>
        <w:ind w:left="1800"/>
      </w:pPr>
      <w:r>
        <w:t xml:space="preserve"> </w:t>
      </w:r>
    </w:p>
    <w:p w14:paraId="4A7B8A56" w14:textId="24B3038B" w:rsidR="00F2159B" w:rsidRDefault="00F2159B" w:rsidP="00F2159B">
      <w:pPr>
        <w:pStyle w:val="FigureCaption"/>
      </w:pPr>
      <w:r>
        <w:t>Side-by-side bar charts of cumulative return and # trades vs impact</w:t>
      </w:r>
    </w:p>
    <w:p w14:paraId="5959A4C4" w14:textId="24D84BD9" w:rsidR="00F2159B" w:rsidRDefault="00F2159B" w:rsidP="00F2159B">
      <w:r>
        <w:t xml:space="preserve">Cumulative return drops monotonically from +112% at zero impact to -491% at impact = 0.05, confirming the first hypothesis. The Sharpe ratio collapses similarly, and standard deviation explodes at impact = 0.05 as the learner churns. Trade count rises monotonically from 126 to 186 across the four impact levels. Raising the buyHurdle/sellHurdle should intuitively filter out marginal labels </w:t>
      </w:r>
      <w:r>
        <w:lastRenderedPageBreak/>
        <w:t>and produce fewer trades, but the opposite happens: at buyHurdle = 0.07 very few days qualify as confident +1 or -1 labels, most training labels collapse to class 0, and the learner ends up with class-0-biased noisy trees that flip predictions frequently on out-of-training-distribution feature combinations. Impact changes behavior, not just returns. Higher impact destabilizes the learner rather than making it more conservative.</w:t>
      </w:r>
    </w:p>
    <w:p w14:paraId="6F10AA1C" w14:textId="36FA156E" w:rsidR="00FD7ADF" w:rsidRDefault="00F2159B" w:rsidP="009E7583">
      <w:r>
        <w:t>The portfolio-value chart makes this vivid: at impact = 0.05 the equity curve diverges from the other three by mid-2008 and spirals into deep negative territory, while the impact = 0 curve rides the in-sample crash-and-recovery cleanly. Any practical deployment should therefore either measure realistic impact from execution data before training, or make impact a tunable hyperparameter rather than a static constant.</w:t>
      </w:r>
    </w:p>
    <w:p w14:paraId="7B130D36" w14:textId="77777777" w:rsidR="009E7583" w:rsidRDefault="009E7583" w:rsidP="009E7583">
      <w:pPr>
        <w:pStyle w:val="Heading1"/>
      </w:pPr>
      <w:r>
        <w:t>Summary</w:t>
      </w:r>
    </w:p>
    <w:p w14:paraId="3481DEB7" w14:textId="6C9D325B" w:rsidR="000945FA" w:rsidRDefault="00E96DFD" w:rsidP="00F2159B">
      <w:r>
        <w:t xml:space="preserve">Though I initially suspected that the Random Forest Strategy Learner would be able to over-fit and beat-out the manual rule-based hunch I had, this was not validated by the results from this experiment. </w:t>
      </w:r>
      <w:r w:rsidR="00F2159B" w:rsidRPr="00F2159B">
        <w:t>On JPM</w:t>
      </w:r>
      <w:r>
        <w:t>,</w:t>
      </w:r>
      <w:r w:rsidR="00F2159B" w:rsidRPr="00F2159B">
        <w:t xml:space="preserve"> the Random Forest Strategy Learner neither beats the Manual Strategy in-sample nor generalizes out-of-sample. Three indicators with two years of training data are not enough signal to outperform a thoughtfully tuned rule, and the learner's added flexibility makes it more fragile when the regime shifts. Impact is also not a parameter to take lightly; a 10x change in impact turns a profitable learner into a non-working one. Backtests optimize based on past rewards, but those reward signals don't persist into the future in the experiments we have seen.</w:t>
      </w:r>
    </w:p>
    <w:sectPr w:rsidR="000945FA" w:rsidSect="00641AD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2160" w:bottom="2160" w:left="2160" w:header="720" w:footer="14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610C82" w14:textId="77777777" w:rsidR="004E2FB5" w:rsidRDefault="004E2FB5">
      <w:pPr>
        <w:spacing w:after="0" w:line="240" w:lineRule="auto"/>
      </w:pPr>
      <w:r>
        <w:separator/>
      </w:r>
    </w:p>
  </w:endnote>
  <w:endnote w:type="continuationSeparator" w:id="0">
    <w:p w14:paraId="5486ACDC" w14:textId="77777777" w:rsidR="004E2FB5" w:rsidRDefault="004E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9209501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C5E21B" w14:textId="77777777" w:rsidR="00641ADD" w:rsidRDefault="003B205D" w:rsidP="00C923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7FDF47" w14:textId="77777777" w:rsidR="00641ADD" w:rsidRDefault="004E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719362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C192371" w14:textId="77777777" w:rsidR="00641ADD" w:rsidRDefault="003B205D" w:rsidP="00C923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71923E" w14:textId="77777777" w:rsidR="00641ADD" w:rsidRDefault="004E2F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26FB49" w14:textId="77777777" w:rsidR="00BC324F" w:rsidRDefault="004E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C45240" w14:textId="77777777" w:rsidR="004E2FB5" w:rsidRDefault="004E2FB5">
      <w:pPr>
        <w:spacing w:after="0" w:line="240" w:lineRule="auto"/>
      </w:pPr>
      <w:r>
        <w:separator/>
      </w:r>
    </w:p>
  </w:footnote>
  <w:footnote w:type="continuationSeparator" w:id="0">
    <w:p w14:paraId="3B85FDB0" w14:textId="77777777" w:rsidR="004E2FB5" w:rsidRDefault="004E2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01098560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8F6CF68" w14:textId="77777777" w:rsidR="0002420C" w:rsidRDefault="003B205D" w:rsidP="00B3428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7FC456" w14:textId="77777777" w:rsidR="006D3558" w:rsidRDefault="004E2FB5" w:rsidP="0002420C">
    <w:pPr>
      <w:pStyle w:val="Header"/>
      <w:ind w:right="360"/>
      <w:rPr>
        <w:rStyle w:val="PageNumber"/>
      </w:rPr>
    </w:pPr>
  </w:p>
  <w:p w14:paraId="439C053D" w14:textId="77777777" w:rsidR="006D3558" w:rsidRDefault="004E2FB5" w:rsidP="00126D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E99BF4" w14:textId="77777777" w:rsidR="006D3558" w:rsidRDefault="004E2FB5" w:rsidP="0002420C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CA22D" w14:textId="77777777" w:rsidR="00BC324F" w:rsidRDefault="004E2F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82B37"/>
    <w:multiLevelType w:val="hybridMultilevel"/>
    <w:tmpl w:val="3992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41BCF"/>
    <w:multiLevelType w:val="hybridMultilevel"/>
    <w:tmpl w:val="BB2E4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C7203"/>
    <w:multiLevelType w:val="hybridMultilevel"/>
    <w:tmpl w:val="FF6C5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72837"/>
    <w:multiLevelType w:val="multilevel"/>
    <w:tmpl w:val="8460E436"/>
    <w:lvl w:ilvl="0">
      <w:start w:val="1"/>
      <w:numFmt w:val="decimal"/>
      <w:pStyle w:val="Heading1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7F42E9"/>
    <w:multiLevelType w:val="hybridMultilevel"/>
    <w:tmpl w:val="E5EAC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F1FEA"/>
    <w:multiLevelType w:val="hybridMultilevel"/>
    <w:tmpl w:val="03DECA74"/>
    <w:lvl w:ilvl="0" w:tplc="E892D766">
      <w:start w:val="1"/>
      <w:numFmt w:val="lowerLetter"/>
      <w:lvlText w:val="(%1)"/>
      <w:lvlJc w:val="left"/>
      <w:pPr>
        <w:ind w:left="56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5A921AB"/>
    <w:multiLevelType w:val="hybridMultilevel"/>
    <w:tmpl w:val="468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507DF"/>
    <w:multiLevelType w:val="hybridMultilevel"/>
    <w:tmpl w:val="E41A5240"/>
    <w:lvl w:ilvl="0" w:tplc="C8D41AC0">
      <w:start w:val="1"/>
      <w:numFmt w:val="decimal"/>
      <w:pStyle w:val="FigureCaption"/>
      <w:lvlText w:val="Figure %1—"/>
      <w:lvlJc w:val="left"/>
      <w:pPr>
        <w:ind w:left="1440" w:firstLine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F4A37"/>
    <w:multiLevelType w:val="hybridMultilevel"/>
    <w:tmpl w:val="293EB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A823C0"/>
    <w:multiLevelType w:val="hybridMultilevel"/>
    <w:tmpl w:val="E78A3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9"/>
  </w:num>
  <w:num w:numId="5">
    <w:abstractNumId w:val="5"/>
  </w:num>
  <w:num w:numId="6">
    <w:abstractNumId w:val="4"/>
  </w:num>
  <w:num w:numId="7">
    <w:abstractNumId w:val="8"/>
  </w:num>
  <w:num w:numId="8">
    <w:abstractNumId w:val="7"/>
    <w:lvlOverride w:ilvl="0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6"/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09"/>
    <w:rsid w:val="000B7631"/>
    <w:rsid w:val="000C0C6C"/>
    <w:rsid w:val="002B6F60"/>
    <w:rsid w:val="003B205D"/>
    <w:rsid w:val="004E2FB5"/>
    <w:rsid w:val="005665D6"/>
    <w:rsid w:val="00626BDF"/>
    <w:rsid w:val="00802D50"/>
    <w:rsid w:val="009102A4"/>
    <w:rsid w:val="009E7583"/>
    <w:rsid w:val="00A11E6B"/>
    <w:rsid w:val="00A40209"/>
    <w:rsid w:val="00A80F7C"/>
    <w:rsid w:val="00C20EC6"/>
    <w:rsid w:val="00C745A1"/>
    <w:rsid w:val="00CF0CBE"/>
    <w:rsid w:val="00DE3F0A"/>
    <w:rsid w:val="00E864EC"/>
    <w:rsid w:val="00E96DFD"/>
    <w:rsid w:val="00F2159B"/>
    <w:rsid w:val="00F9535B"/>
    <w:rsid w:val="00FD3758"/>
    <w:rsid w:val="00FD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AA03"/>
  <w15:chartTrackingRefBased/>
  <w15:docId w15:val="{C5103D57-4D41-AC4D-AF05-6C83B018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83"/>
    <w:pPr>
      <w:spacing w:after="170" w:line="340" w:lineRule="exact"/>
      <w:jc w:val="both"/>
    </w:pPr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7583"/>
    <w:pPr>
      <w:keepNext/>
      <w:keepLines/>
      <w:numPr>
        <w:numId w:val="1"/>
      </w:numPr>
      <w:suppressAutoHyphens/>
      <w:spacing w:before="220"/>
      <w:outlineLvl w:val="0"/>
    </w:pPr>
    <w:rPr>
      <w:rFonts w:eastAsiaTheme="majorEastAsia" w:cs="Times New Roman (Headings CS)"/>
      <w:b/>
      <w:caps/>
      <w:spacing w:val="13"/>
      <w:szCs w:val="48"/>
      <w14:numForm w14:val="lining"/>
      <w14:numSpacing w14:val="tabula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7583"/>
    <w:pPr>
      <w:keepNext/>
      <w:keepLines/>
      <w:numPr>
        <w:ilvl w:val="1"/>
        <w:numId w:val="1"/>
      </w:numPr>
      <w:suppressAutoHyphens/>
      <w:spacing w:before="170"/>
      <w:outlineLvl w:val="1"/>
    </w:pPr>
    <w:rPr>
      <w:rFonts w:eastAsiaTheme="majorEastAsia" w:cs="Times New Roman (Headings CS)"/>
      <w:b/>
      <w:color w:val="00000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E7583"/>
    <w:pPr>
      <w:keepNext/>
      <w:numPr>
        <w:ilvl w:val="2"/>
        <w:numId w:val="1"/>
      </w:numPr>
      <w:suppressAutoHyphens/>
      <w:outlineLvl w:val="2"/>
    </w:pPr>
    <w:rPr>
      <w:b/>
      <w:i/>
      <w:spacing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83"/>
    <w:rPr>
      <w:rFonts w:ascii="Palatino Linotype" w:eastAsiaTheme="majorEastAsia" w:hAnsi="Palatino Linotype" w:cs="Times New Roman (Headings CS)"/>
      <w:b/>
      <w:caps/>
      <w:spacing w:val="13"/>
      <w:kern w:val="16"/>
      <w:sz w:val="22"/>
      <w:szCs w:val="48"/>
      <w14:ligatures w14:val="standardContextual"/>
      <w14:numForm w14:val="lining"/>
      <w14:numSpacing w14:val="tabular"/>
    </w:rPr>
  </w:style>
  <w:style w:type="character" w:customStyle="1" w:styleId="Heading2Char">
    <w:name w:val="Heading 2 Char"/>
    <w:basedOn w:val="DefaultParagraphFont"/>
    <w:link w:val="Heading2"/>
    <w:uiPriority w:val="9"/>
    <w:rsid w:val="009E7583"/>
    <w:rPr>
      <w:rFonts w:ascii="Palatino Linotype" w:eastAsiaTheme="majorEastAsia" w:hAnsi="Palatino Linotype" w:cs="Times New Roman (Headings CS)"/>
      <w:b/>
      <w:color w:val="000000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character" w:customStyle="1" w:styleId="Heading3Char">
    <w:name w:val="Heading 3 Char"/>
    <w:basedOn w:val="DefaultParagraphFont"/>
    <w:link w:val="Heading3"/>
    <w:uiPriority w:val="9"/>
    <w:rsid w:val="009E7583"/>
    <w:rPr>
      <w:rFonts w:ascii="Palatino Linotype" w:eastAsia="Times New Roman" w:hAnsi="Palatino Linotype" w:cs="Times New Roman"/>
      <w:b/>
      <w:i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E7583"/>
    <w:pPr>
      <w:spacing w:after="110" w:line="440" w:lineRule="exact"/>
      <w:contextualSpacing/>
      <w:jc w:val="center"/>
    </w:pPr>
    <w:rPr>
      <w:rFonts w:eastAsiaTheme="majorEastAsia" w:cs="Times New Roman (Headings CS)"/>
      <w:spacing w:val="0"/>
      <w:sz w:val="34"/>
      <w:szCs w:val="34"/>
      <w14:numForm w14:val="lining"/>
      <w14:numSpacing w14:val="tabular"/>
    </w:rPr>
  </w:style>
  <w:style w:type="character" w:customStyle="1" w:styleId="TitleChar">
    <w:name w:val="Title Char"/>
    <w:basedOn w:val="DefaultParagraphFont"/>
    <w:link w:val="Title"/>
    <w:uiPriority w:val="10"/>
    <w:rsid w:val="009E7583"/>
    <w:rPr>
      <w:rFonts w:ascii="Palatino Linotype" w:eastAsiaTheme="majorEastAsia" w:hAnsi="Palatino Linotype" w:cs="Times New Roman (Headings CS)"/>
      <w:kern w:val="16"/>
      <w:sz w:val="34"/>
      <w:szCs w:val="34"/>
      <w14:ligatures w14:val="standardContextual"/>
      <w14:numForm w14:val="lining"/>
      <w14:numSpacing w14:val="tabul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83"/>
    <w:pPr>
      <w:numPr>
        <w:ilvl w:val="1"/>
      </w:numPr>
      <w:jc w:val="center"/>
    </w:pPr>
    <w:rPr>
      <w:rFonts w:eastAsiaTheme="minorEastAsia"/>
    </w:rPr>
  </w:style>
  <w:style w:type="character" w:customStyle="1" w:styleId="SubtitleChar">
    <w:name w:val="Subtitle Char"/>
    <w:basedOn w:val="DefaultParagraphFont"/>
    <w:link w:val="Subtitle"/>
    <w:uiPriority w:val="11"/>
    <w:rsid w:val="009E7583"/>
    <w:rPr>
      <w:rFonts w:ascii="Palatino Linotype" w:eastAsiaTheme="minorEastAsia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customStyle="1" w:styleId="Abstract">
    <w:name w:val="Abstract"/>
    <w:basedOn w:val="Normal"/>
    <w:link w:val="AbstractChar"/>
    <w:qFormat/>
    <w:rsid w:val="009E7583"/>
    <w:pPr>
      <w:ind w:left="720" w:right="720"/>
    </w:pPr>
  </w:style>
  <w:style w:type="character" w:customStyle="1" w:styleId="AbstractChar">
    <w:name w:val="Abstract Char"/>
    <w:basedOn w:val="DefaultParagraphFont"/>
    <w:link w:val="Abstract"/>
    <w:rsid w:val="009E7583"/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Header">
    <w:name w:val="header"/>
    <w:basedOn w:val="Normal"/>
    <w:link w:val="HeaderChar"/>
    <w:uiPriority w:val="99"/>
    <w:unhideWhenUsed/>
    <w:rsid w:val="009E7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583"/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Footer">
    <w:name w:val="footer"/>
    <w:basedOn w:val="Normal"/>
    <w:link w:val="FooterChar"/>
    <w:uiPriority w:val="99"/>
    <w:unhideWhenUsed/>
    <w:rsid w:val="009E7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583"/>
    <w:rPr>
      <w:rFonts w:ascii="Palatino Linotype" w:eastAsia="Times New Roman" w:hAnsi="Palatino Linotype" w:cs="Times New Roman"/>
      <w:spacing w:val="2"/>
      <w:kern w:val="16"/>
      <w:sz w:val="22"/>
      <w:szCs w:val="22"/>
      <w14:ligatures w14:val="standardContextual"/>
      <w14:numForm w14:val="oldStyle"/>
      <w14:numSpacing w14:val="proportional"/>
    </w:rPr>
  </w:style>
  <w:style w:type="paragraph" w:styleId="ListParagraph">
    <w:name w:val="List Paragraph"/>
    <w:basedOn w:val="Normal"/>
    <w:uiPriority w:val="34"/>
    <w:rsid w:val="009E7583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9E7583"/>
  </w:style>
  <w:style w:type="character" w:customStyle="1" w:styleId="CAPS">
    <w:name w:val="CAPS"/>
    <w:basedOn w:val="DefaultParagraphFont"/>
    <w:uiPriority w:val="1"/>
    <w:qFormat/>
    <w:rsid w:val="009E7583"/>
    <w:rPr>
      <w:caps/>
      <w:smallCaps w:val="0"/>
      <w:spacing w:val="11"/>
      <w14:numForm w14:val="lining"/>
      <w14:numSpacing w14:val="proportional"/>
    </w:rPr>
  </w:style>
  <w:style w:type="paragraph" w:customStyle="1" w:styleId="FigureCaption">
    <w:name w:val="Figure Caption"/>
    <w:basedOn w:val="Normal"/>
    <w:qFormat/>
    <w:rsid w:val="009E7583"/>
    <w:pPr>
      <w:numPr>
        <w:numId w:val="2"/>
      </w:numPr>
      <w:tabs>
        <w:tab w:val="left" w:pos="2250"/>
        <w:tab w:val="left" w:pos="2275"/>
        <w:tab w:val="left" w:pos="2304"/>
        <w:tab w:val="left" w:pos="2333"/>
        <w:tab w:val="left" w:pos="2362"/>
      </w:tabs>
      <w:spacing w:after="110" w:line="280" w:lineRule="exact"/>
      <w:ind w:right="1440"/>
    </w:pPr>
    <w:rPr>
      <w:bCs/>
      <w:spacing w:val="3"/>
      <w:sz w:val="17"/>
      <w:szCs w:val="20"/>
    </w:rPr>
  </w:style>
  <w:style w:type="table" w:styleId="TableGrid">
    <w:name w:val="Table Grid"/>
    <w:basedOn w:val="TableNormal"/>
    <w:uiPriority w:val="39"/>
    <w:rsid w:val="000B76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Liu</dc:creator>
  <cp:keywords/>
  <dc:description/>
  <cp:lastModifiedBy>Xing Liu</cp:lastModifiedBy>
  <cp:revision>12</cp:revision>
  <dcterms:created xsi:type="dcterms:W3CDTF">2026-02-01T23:22:00Z</dcterms:created>
  <dcterms:modified xsi:type="dcterms:W3CDTF">2026-04-20T07:05:00Z</dcterms:modified>
</cp:coreProperties>
</file>