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kori-answers-유통-시나리오-상품행사-인사이트-qa"/>
    <w:p>
      <w:pPr>
        <w:pStyle w:val="Heading1"/>
        <w:pBdr>
          <w:bottom w:val="single" w:sz="18" w:space="3" w:color="C04F15"/>
        </w:pBdr>
      </w:pPr>
      <w:r>
        <w:t xml:space="preserve">KORI Answers — 유통 시나리오: 상품·행사 인사이트 Q&amp;A</w:t>
      </w:r>
    </w:p>
    <w:p>
      <w:pPr>
        <w:pStyle w:val="BlockText"/>
      </w:pPr>
      <w:r>
        <w:rPr>
          <w:b/>
          <w:bCs/>
        </w:rPr>
        <w:t xml:space="preserve">타깃</w:t>
      </w:r>
      <w:r>
        <w:t xml:space="preserve">: 대형 유통(이마트) ·</w:t>
      </w:r>
      <w:r>
        <w:t xml:space="preserve"> </w:t>
      </w:r>
      <w:r>
        <w:rPr>
          <w:b/>
          <w:bCs/>
        </w:rPr>
        <w:t xml:space="preserve">대상 조직</w:t>
      </w:r>
      <w:r>
        <w:t xml:space="preserve">: 상품기획(MD)·영업전략·점포운영</w:t>
      </w:r>
    </w:p>
    <w:bookmarkStart w:id="9" w:name="고객의-문제"/>
    <w:p>
      <w:pPr>
        <w:pStyle w:val="Heading2"/>
        <w:pBdr>
          <w:bottom w:val="single" w:sz="6" w:space="3" w:color="E3E3E5"/>
        </w:pBdr>
      </w:pPr>
      <w:r>
        <w:t xml:space="preserve">고객의 문제</w:t>
      </w:r>
    </w:p>
    <w:p>
      <w:pPr>
        <w:pStyle w:val="Compact"/>
        <w:numPr>
          <w:ilvl w:val="0"/>
          <w:numId w:val="1001"/>
        </w:numPr>
      </w:pPr>
      <w:r>
        <w:t xml:space="preserve">상품 마스터·행사 이력·매출 데이터는 BI에, 행사 기획서·운영 매뉴얼·VOC는 문서함에 —</w:t>
      </w:r>
      <w:r>
        <w:t xml:space="preserve"> </w:t>
      </w:r>
      <w:r>
        <w:rPr>
          <w:b/>
          <w:bCs/>
        </w:rPr>
        <w:t xml:space="preserve">숫자와 맥락이 분리</w:t>
      </w:r>
      <w:r>
        <w:t xml:space="preserve">되어 있어</w:t>
      </w:r>
      <w:r>
        <w:t xml:space="preserve"> </w:t>
      </w:r>
      <w:r>
        <w:t xml:space="preserve">“왜”</w:t>
      </w:r>
      <w:r>
        <w:t xml:space="preserve">에 답하려면 사람이 취합</w:t>
      </w:r>
    </w:p>
    <w:p>
      <w:pPr>
        <w:pStyle w:val="Compact"/>
        <w:numPr>
          <w:ilvl w:val="0"/>
          <w:numId w:val="1001"/>
        </w:numPr>
      </w:pPr>
      <w:r>
        <w:t xml:space="preserve">MD 순환보직으로 카테고리 노하우 단절 —</w:t>
      </w:r>
      <w:r>
        <w:t xml:space="preserve"> </w:t>
      </w:r>
      <w:r>
        <w:t xml:space="preserve">“작년 이 시즌 무엇을 왜 했고 결과가 어땠나”</w:t>
      </w:r>
      <w:r>
        <w:t xml:space="preserve">를 아는 사람이 없음</w:t>
      </w:r>
    </w:p>
    <w:p>
      <w:pPr>
        <w:pStyle w:val="Compact"/>
        <w:numPr>
          <w:ilvl w:val="0"/>
          <w:numId w:val="1001"/>
        </w:numPr>
      </w:pPr>
      <w:r>
        <w:t xml:space="preserve">BI 대시보드는</w:t>
      </w:r>
      <w:r>
        <w:t xml:space="preserve"> </w:t>
      </w:r>
      <w:r>
        <w:rPr>
          <w:b/>
          <w:bCs/>
        </w:rPr>
        <w:t xml:space="preserve">정해진 질문</w:t>
      </w:r>
      <w:r>
        <w:t xml:space="preserve">에만 답함 — 자연어로 묻는 탐색형 질의(비교·원인·이력)는 데이터팀 티켓 대기</w:t>
      </w:r>
    </w:p>
    <w:p>
      <w:pPr>
        <w:pStyle w:val="Compact"/>
        <w:numPr>
          <w:ilvl w:val="0"/>
          <w:numId w:val="1001"/>
        </w:numPr>
      </w:pPr>
      <w:r>
        <w:t xml:space="preserve">상품·거래처 정보는 영업 기밀 — 부서·직급별 접근 통제 하에서만 조회 허용</w:t>
      </w:r>
    </w:p>
    <w:bookmarkEnd w:id="9"/>
    <w:bookmarkStart w:id="10" w:name="대표-시나리오"/>
    <w:p>
      <w:pPr>
        <w:pStyle w:val="Heading2"/>
        <w:pBdr>
          <w:bottom w:val="single" w:sz="6" w:space="3" w:color="E3E3E5"/>
        </w:pBdr>
      </w:pPr>
      <w:r>
        <w:t xml:space="preserve">대표 시나리오</w:t>
      </w:r>
    </w:p>
    <w:p>
      <w:pPr>
        <w:pStyle w:val="BlockText"/>
      </w:pPr>
      <w:r>
        <w:rPr>
          <w:b/>
          <w:bCs/>
        </w:rPr>
        <w:t xml:space="preserve">Q.</w:t>
      </w:r>
      <w:r>
        <w:rPr>
          <w:b/>
          <w:bCs/>
        </w:rPr>
        <w:t xml:space="preserve"> </w:t>
      </w:r>
      <w:r>
        <w:rPr>
          <w:b/>
          <w:bCs/>
        </w:rPr>
        <w:t xml:space="preserve">“작년 추석 델리 카테고리 행사 성과 요약하고, 이번 추석 기획서와 비교해서 리스크 짚어줘.”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D8D8DA"/>
          <w:left w:val="single" w:sz="4" w:space="0" w:color="D8D8DA"/>
          <w:bottom w:val="single" w:sz="4" w:space="0" w:color="D8D8DA"/>
          <w:right w:val="single" w:sz="4" w:space="0" w:color="D8D8DA"/>
          <w:insideH w:val="single" w:sz="4" w:space="0" w:color="D8D8DA"/>
          <w:insideV w:val="single" w:sz="4" w:space="0" w:color="D8D8DA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6F1EC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단계</w:t>
            </w:r>
          </w:p>
        </w:tc>
        <w:tc>
          <w:tcPr>
            <w:shd w:val="clear" w:color="auto" w:fill="F6F1EC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KORI 동작</w:t>
            </w:r>
          </w:p>
        </w:tc>
        <w:tc>
          <w:tcPr>
            <w:shd w:val="clear" w:color="auto" w:fill="F6F1EC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담당 구성요소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질의 해석 — 카테고리 코드·행사 유형·사내 용어를 도메인 사전으로 정규화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Domain Dictionary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sz w:val="18"/>
              </w:rPr>
              <w:t xml:space="preserve">2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sz w:val="18"/>
              </w:rPr>
              <w:t xml:space="preserve">매출·행사 실적을 정형 조회 (부서 권한은 SQL 파라미터 바인딩으로 강제)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sz w:val="18"/>
              </w:rPr>
              <w:t xml:space="preserve">Quantitative Retriever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작년 행사 기획서·결과 보고서·VOC에서 맥락 검색 — 권한 필터 선적용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Lexical + Semantic Retriever, ACL pre-filter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sz w:val="18"/>
              </w:rPr>
              <w:t xml:space="preserve">4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sz w:val="18"/>
              </w:rPr>
              <w:t xml:space="preserve">실적 수치 + 기획 의도 + VOC를 융합, 올해 기획서와 항목별 비교·리스크 도출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sz w:val="18"/>
              </w:rPr>
              <w:t xml:space="preserve">Fusion &amp; Rank, Agent Orchestrator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수치는 조회 결과만 인용(할루시네이션 차단), 전 과정 감사 로그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Deterministic Security Layer</w:t>
            </w:r>
          </w:p>
        </w:tc>
      </w:tr>
    </w:tbl>
    <w:bookmarkEnd w:id="10"/>
    <w:bookmarkStart w:id="11" w:name="왜-범용-agent-harness로는-안-되는가"/>
    <w:p>
      <w:pPr>
        <w:pStyle w:val="Heading2"/>
        <w:pBdr>
          <w:bottom w:val="single" w:sz="6" w:space="3" w:color="E3E3E5"/>
        </w:pBdr>
      </w:pPr>
      <w:r>
        <w:t xml:space="preserve">왜 범용 Agent Harness로는 안 되는가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정형+비정형 융합</w:t>
      </w:r>
      <w:r>
        <w:t xml:space="preserve">:</w:t>
      </w:r>
      <w:r>
        <w:t xml:space="preserve"> </w:t>
      </w:r>
      <w:r>
        <w:t xml:space="preserve">“얼마 팔렸나”</w:t>
      </w:r>
      <w:r>
        <w:t xml:space="preserve">(BI)와</w:t>
      </w:r>
      <w:r>
        <w:t xml:space="preserve"> </w:t>
      </w:r>
      <w:r>
        <w:t xml:space="preserve">“왜 그랬나”</w:t>
      </w:r>
      <w:r>
        <w:t xml:space="preserve">(문서)를 한 답변으로 — 대시보드도 범용 RAG도 못 하는 교집합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수치 신뢰성</w:t>
      </w:r>
      <w:r>
        <w:t xml:space="preserve">: 매출 숫자를 LLM이 생성하면 사고 — 정형 조회 결과만 인용하도록 결정적으로 제한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유통 도메인 사전</w:t>
      </w:r>
      <w:r>
        <w:t xml:space="preserve">: 카테고리 체계·행사 유형·마진 용어 등 사내 코드 체계가 정확도의 관건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평가 체계</w:t>
      </w:r>
      <w:r>
        <w:t xml:space="preserve">: 골드 질의 기반 회귀 평가로 시즌 개편·데이터 변경 후에도 품질 유지 검증</w:t>
      </w:r>
    </w:p>
    <w:bookmarkEnd w:id="11"/>
    <w:bookmarkStart w:id="12" w:name="도입-제안-poc-810주"/>
    <w:p>
      <w:pPr>
        <w:pStyle w:val="Heading2"/>
        <w:pBdr>
          <w:bottom w:val="single" w:sz="6" w:space="3" w:color="E3E3E5"/>
        </w:pBdr>
      </w:pPr>
      <w:r>
        <w:t xml:space="preserve">도입 제안 (PoC 8~10주)</w:t>
      </w:r>
    </w:p>
    <w:p>
      <w:pPr>
        <w:pStyle w:val="FirstParagraph"/>
      </w:pPr>
      <w:r>
        <w:t xml:space="preserve">카테고리 1개(예: 델리/가공식품) 범위 — ①행사 기획서·결과 보고서 인제스천 + 상품/행사 용어 사전 구축 → ②매출 데이터 read-only 연동 → ③MD 골드 질의 50문항 평가 → 정답률·수치 정합성 리포트로 검수.</w:t>
      </w:r>
    </w:p>
    <w:bookmarkEnd w:id="12"/>
    <w:bookmarkEnd w:id="13"/>
    <w:sectPr>
      <w:footerReference w:type="default" r:id="rId9"/>
      <w:footnotePr>
        <w:numRestart w:val="eachSect"/>
      </w:footnotePr>
      <w:pgMar w:left="1020" w:right="102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C04F15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543652" cy="5486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xenoimpact_black_typ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3652" cy="54864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B7075"/>
        <w:sz w:val="16"/>
      </w:rPr>
      <w:tab/>
    </w:r>
    <w:r>
      <w:rPr>
        <w:color w:val="6B7075"/>
        <w:sz w:val="16"/>
      </w:rPr>
      <w:fldChar w:fldCharType="begin"/>
    </w:r>
    <w:r>
      <w:rPr>
        <w:color w:val="6B7075"/>
        <w:sz w:val="16"/>
      </w:rPr>
      <w:instrText>PAGE</w:instrText>
    </w:r>
    <w:r>
      <w:rPr>
        <w:color w:val="6B7075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24" w:lineRule="auto" w:after="80"/>
    </w:pPr>
    <w:rPr>
      <w:rFonts w:ascii="Apple SD Gothic Neo" w:hAnsi="Apple SD Gothic Neo" w:eastAsia="Apple SD Gothic Neo" w:cs="Apple SD Gothic Neo"/>
      <w:color w:val="1A1A1C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00" w:before="0"/>
      <w:outlineLvl w:val="0"/>
    </w:pPr>
    <w:rPr>
      <w:rFonts w:asciiTheme="majorHAnsi" w:cstheme="majorBidi" w:eastAsiaTheme="majorEastAsia" w:hAnsiTheme="majorHAnsi" w:ascii="Apple SD Gothic Neo" w:hAnsi="Apple SD Gothic Neo" w:eastAsia="Apple SD Gothic Neo" w:cs="Apple SD Gothic Neo"/>
      <w:b/>
      <w:color w:val="1A1A1C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280"/>
      <w:outlineLvl w:val="1"/>
    </w:pPr>
    <w:rPr>
      <w:rFonts w:asciiTheme="majorHAnsi" w:cstheme="majorBidi" w:eastAsiaTheme="majorEastAsia" w:hAnsiTheme="majorHAnsi" w:ascii="Apple SD Gothic Neo" w:hAnsi="Apple SD Gothic Neo" w:eastAsia="Apple SD Gothic Neo" w:cs="Apple SD Gothic Neo"/>
      <w:b/>
      <w:color w:val="C04F15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80"/>
      <w:outlineLvl w:val="2"/>
    </w:pPr>
    <w:rPr>
      <w:rFonts w:cstheme="majorBidi" w:eastAsiaTheme="majorEastAsia" w:ascii="Apple SD Gothic Neo" w:hAnsi="Apple SD Gothic Neo" w:eastAsia="Apple SD Gothic Neo" w:cs="Apple SD Gothic Neo"/>
      <w:b/>
      <w:color w:val="1A1A1C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2026-08-25T05:06:45Z</dcterms:created>
  <dcterms:modified xsi:type="dcterms:W3CDTF">2026-08-25T05:06:45Z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