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jc w:val="start"/>
      </w:pPr>
      <w:r>
        <w:rPr>
          <w:rFonts w:ascii="Noto Sans Arabic" w:hAnsi="Noto Sans Arabic" w:cs="Noto Sans Arabic" w:eastAsia="Noto Sans Arabic"/>
          <w:sz w:val="20"/>
          <w:szCs w:val="20"/>
          <w:rtl w:val="1"/>
          <w:lang w:bidi="ar-EG"/>
          <w:color w:val="246D75"/>
          <w:b w:val="1"/>
          <w:bCs w:val="1"/>
        </w:rPr>
        <w:t>العرض التنفيذي  /  ٠١</w:t>
      </w:r>
    </w:p>
    <w:p>
      <w:pPr>
        <w:pStyle w:val="Title"/>
        <w:widowControl/>
        <w:bidi w:val="1"/>
        <w:jc w:val="start"/>
      </w:pPr>
      <w:r>
        <w:t>منظومة تسجيل النشاط الطلابي</w:t>
        <w:br/>
        <w:t>واعتماده بكلية التجارة</w:t>
      </w:r>
    </w:p>
    <w:p>
      <w:pPr>
        <w:widowControl/>
        <w:bidi w:val="1"/>
        <w:jc w:val="start"/>
      </w:pPr>
      <w:r>
        <w:t>بناءً على توجيهات سيادتكم، يوضح هذا العرض ما سيتم تنفيذه وآلية استخدام المنظومة، بدءًا بنسخة خاصة بكلية التجارة، ثم تعميم التجربة بعد اختبارها والتأكد من جاهزيتها.</w:t>
      </w:r>
    </w:p>
    <w:p>
      <w:pPr>
        <w:widowControl/>
        <w:bidi w:val="1"/>
        <w:spacing w:before="100" w:after="200"/>
        <w:jc w:val="start"/>
        <w:shd w:fill="EDF4F5"/>
      </w:pPr>
      <w:r>
        <w:rPr>
          <w:rFonts w:ascii="Noto Sans Arabic" w:hAnsi="Noto Sans Arabic" w:cs="Noto Sans Arabic" w:eastAsia="Noto Sans Arabic"/>
          <w:sz w:val="22"/>
          <w:szCs w:val="22"/>
          <w:rtl w:val="1"/>
          <w:lang w:bidi="ar-EG"/>
          <w:color w:val="18394D"/>
          <w:b w:val="1"/>
          <w:bCs w:val="1"/>
        </w:rPr>
        <w:t>نشاط واحد للطالب  •  ٤٠ درجة كاملة بعد الاعتماد</w:t>
      </w:r>
    </w:p>
    <w:p>
      <w:pPr>
        <w:pStyle w:val="Heading2"/>
        <w:widowControl/>
        <w:bidi w:val="1"/>
        <w:jc w:val="start"/>
      </w:pPr>
      <w:r>
        <w:t>الفكرة ونطاق التنفيذ</w:t>
      </w:r>
    </w:p>
    <w:p>
      <w:pPr>
        <w:widowControl/>
        <w:bidi w:val="1"/>
        <w:jc w:val="start"/>
      </w:pPr>
      <w:r>
        <w:t>موقع مستقل بهوية كلية التجارة، يتيح للطالب تقديم نشاطه وإرفاق مستنداته واستخراج استمارته، ثم متابعة المراجعة. ويشمل واجهة للطلاب، ولوحة للموظفين، وإدارة للحسابات والصلاحيات، وحفظ الطلبات والمرفقات وقرارات الاعتماد.</w:t>
      </w:r>
    </w:p>
    <w:p>
      <w:pPr>
        <w:pStyle w:val="Heading2"/>
        <w:widowControl/>
        <w:bidi w:val="1"/>
        <w:jc w:val="start"/>
      </w:pPr>
      <w:r>
        <w:t>خطوات تقديم النشاط</w:t>
      </w:r>
    </w:p>
    <w:p>
      <w:pPr>
        <w:bidi w:val="1"/>
        <w:jc w:val="start"/>
      </w:pPr>
      <w:r>
        <w:rPr>
          <w:rFonts w:ascii="Noto Sans Arabic" w:hAnsi="Noto Sans Arabic" w:cs="Noto Sans Arabic" w:eastAsia="Noto Sans Arabic"/>
          <w:sz w:val="22"/>
          <w:szCs w:val="22"/>
          <w:rtl w:val="1"/>
          <w:lang w:bidi="ar-EG"/>
          <w:color w:val="18394D"/>
          <w:b w:val="1"/>
          <w:bCs w:val="1"/>
        </w:rPr>
        <w:t xml:space="preserve">١.  الدخول والتحقق:  </w:t>
      </w:r>
      <w:r>
        <w:t>يدخل الطالب بحسابه، وتُربط هويته ببياناته الرسمية للتأكد من انتمائه للكلية.</w:t>
      </w:r>
    </w:p>
    <w:p>
      <w:pPr>
        <w:bidi w:val="1"/>
        <w:jc w:val="start"/>
      </w:pPr>
      <w:r>
        <w:rPr>
          <w:rFonts w:ascii="Noto Sans Arabic" w:hAnsi="Noto Sans Arabic" w:cs="Noto Sans Arabic" w:eastAsia="Noto Sans Arabic"/>
          <w:sz w:val="22"/>
          <w:szCs w:val="22"/>
          <w:rtl w:val="1"/>
          <w:lang w:bidi="ar-EG"/>
          <w:color w:val="18394D"/>
          <w:b w:val="1"/>
          <w:bCs w:val="1"/>
        </w:rPr>
        <w:t xml:space="preserve">٢.  تسجيل النشاط:  </w:t>
      </w:r>
      <w:r>
        <w:t>يملأ بيانات النشاط ويرفع المستندات، مع إمكانية حفظ مسودة ومراجعتها قبل الإرسال.</w:t>
      </w:r>
    </w:p>
    <w:p>
      <w:pPr>
        <w:bidi w:val="1"/>
        <w:jc w:val="start"/>
      </w:pPr>
      <w:r>
        <w:rPr>
          <w:rFonts w:ascii="Noto Sans Arabic" w:hAnsi="Noto Sans Arabic" w:cs="Noto Sans Arabic" w:eastAsia="Noto Sans Arabic"/>
          <w:sz w:val="22"/>
          <w:szCs w:val="22"/>
          <w:rtl w:val="1"/>
          <w:lang w:bidi="ar-EG"/>
          <w:color w:val="18394D"/>
          <w:b w:val="1"/>
          <w:bCs w:val="1"/>
        </w:rPr>
        <w:t xml:space="preserve">٣.  إصدار الاستمارة:  </w:t>
      </w:r>
      <w:r>
        <w:t>بعد تأكيد التقديم، يحصل على رقم طلب واستمارة جاهزة للتنزيل والطباعة.</w:t>
      </w:r>
    </w:p>
    <w:p>
      <w:pPr>
        <w:bidi w:val="1"/>
        <w:jc w:val="start"/>
      </w:pPr>
      <w:r>
        <w:rPr>
          <w:rFonts w:ascii="Noto Sans Arabic" w:hAnsi="Noto Sans Arabic" w:cs="Noto Sans Arabic" w:eastAsia="Noto Sans Arabic"/>
          <w:sz w:val="22"/>
          <w:szCs w:val="22"/>
          <w:rtl w:val="1"/>
          <w:lang w:bidi="ar-EG"/>
          <w:color w:val="18394D"/>
          <w:b w:val="1"/>
          <w:bCs w:val="1"/>
        </w:rPr>
        <w:t xml:space="preserve">٤.  التسليم والمتابعة:  </w:t>
      </w:r>
      <w:r>
        <w:t>يطبع الطالب الاستمارة ويسلمها للمكتب المختص، ويتابع أي ملاحظات أو تعديلات مطلوبة من حسابه.</w:t>
      </w:r>
    </w:p>
    <w:p>
      <w:pPr>
        <w:pStyle w:val="Heading2"/>
        <w:widowControl/>
        <w:bidi w:val="1"/>
        <w:jc w:val="start"/>
      </w:pPr>
      <w:r>
        <w:t>الاستمارة والدرجات</w:t>
      </w:r>
    </w:p>
    <w:p>
      <w:pPr>
        <w:widowControl/>
        <w:bidi w:val="1"/>
        <w:jc w:val="start"/>
      </w:pPr>
      <w:r>
        <w:t>تُعد الاستمارة بقالب رسمي يتضمن شعار الجامعة والكلية، وبيانات الطالب والنشاط، ورقم الطلب وتاريخه، ومواضع التوقيعات المطلوبة. وتُحفظ نسخة منها للمراجعة وإعادة التنزيل.</w:t>
      </w:r>
    </w:p>
    <w:p>
      <w:pPr>
        <w:widowControl/>
        <w:bidi w:val="1"/>
        <w:jc w:val="start"/>
      </w:pPr>
      <w:r>
        <w:t>يظل الطلب قيد المراجعة دون احتساب الدرجة. وبعد اعتماد الموظف تظهر رسالة «تم اعتماد نشاطك»، ويكتمل مؤشر الدرجة إلى ٤٠ / ٤٠. ولا تُحتسب درجات جزئية أو يُكرر الاستحقاق خلال الفترة المعتمدة.</w:t>
      </w:r>
    </w:p>
    <w:p>
      <w:r>
        <w:br w:type="page"/>
      </w:r>
    </w:p>
    <w:p>
      <w:pPr>
        <w:widowControl/>
        <w:bidi w:val="1"/>
        <w:jc w:val="start"/>
      </w:pPr>
      <w:r>
        <w:rPr>
          <w:rFonts w:ascii="Noto Sans Arabic" w:hAnsi="Noto Sans Arabic" w:cs="Noto Sans Arabic" w:eastAsia="Noto Sans Arabic"/>
          <w:sz w:val="20"/>
          <w:szCs w:val="20"/>
          <w:rtl w:val="1"/>
          <w:lang w:bidi="ar-EG"/>
          <w:color w:val="246D75"/>
          <w:b w:val="1"/>
          <w:bCs w:val="1"/>
        </w:rPr>
        <w:t>التشغيل والصلاحيات  /  ٠٢</w:t>
      </w:r>
    </w:p>
    <w:p>
      <w:pPr>
        <w:pStyle w:val="Title"/>
        <w:widowControl/>
        <w:bidi w:val="1"/>
        <w:jc w:val="start"/>
      </w:pPr>
      <w:r>
        <w:t>المراجعة وإدارة الحسابات</w:t>
      </w:r>
    </w:p>
    <w:p>
      <w:pPr>
        <w:pStyle w:val="Heading2"/>
        <w:widowControl/>
        <w:bidi w:val="1"/>
        <w:jc w:val="start"/>
      </w:pPr>
      <w:r>
        <w:t>لوحة الموظف المختص</w:t>
      </w:r>
    </w:p>
    <w:p>
      <w:pPr>
        <w:widowControl/>
        <w:bidi w:val="1"/>
        <w:jc w:val="start"/>
      </w:pPr>
      <w:r>
        <w:t>بعد تسجيل الدخول، يظهر للموظف مدخل لوحة الإدارة. ويبحث عن الطالب بالرقم الجامعي الموجود على الكارنيه أساسًا، أو بالاسم أو الرقم القومي وفق الصلاحيات، ثم يفتح الطلب ويطّلع على بياناته ومرفقاته واستمارتِه.</w:t>
      </w:r>
    </w:p>
    <w:p>
      <w:pPr>
        <w:widowControl/>
        <w:bidi w:val="1"/>
        <w:jc w:val="start"/>
      </w:pPr>
      <w:r>
        <w:t>بعد استلام الورق ومطابقته، يختار الموظف «اعتماد النشاط»، أو «طلب استكمال»، أو «عدم الاعتماد» مع توضيح السبب. وتظهر النتيجة للطالب مباشرة داخل حسابه.</w:t>
      </w:r>
    </w:p>
    <w:p>
      <w:pPr>
        <w:widowControl/>
        <w:bidi w:val="1"/>
        <w:jc w:val="start"/>
      </w:pPr>
      <w:r>
        <w:t>تُسجل إجراءات المراجعة باسم منفذها وتاريخها. ويُتاح الإلغاء أو الأرشفة وفق الصلاحيات، مع تقييد الحذف النهائي وسحب الاعتماد. وإذا سُحب اعتماد سابق تُحدَّث الدرجة مع حفظ سبب الإجراء.</w:t>
      </w:r>
    </w:p>
    <w:p>
      <w:pPr>
        <w:pStyle w:val="Heading2"/>
        <w:widowControl/>
        <w:bidi w:val="1"/>
        <w:jc w:val="start"/>
      </w:pPr>
      <w:r>
        <w:t>ثلاثة مستويات للحسابات</w:t>
      </w:r>
    </w:p>
    <w:p>
      <w:pPr>
        <w:bidi w:val="1"/>
        <w:jc w:val="start"/>
      </w:pPr>
      <w:r>
        <w:rPr>
          <w:rFonts w:ascii="Noto Sans Arabic" w:hAnsi="Noto Sans Arabic" w:cs="Noto Sans Arabic" w:eastAsia="Noto Sans Arabic"/>
          <w:sz w:val="22"/>
          <w:szCs w:val="22"/>
          <w:rtl w:val="1"/>
          <w:lang w:bidi="ar-EG"/>
          <w:color w:val="18394D"/>
          <w:b w:val="1"/>
          <w:bCs w:val="1"/>
        </w:rPr>
        <w:t xml:space="preserve">١.  الطالب:  </w:t>
      </w:r>
      <w:r>
        <w:t>تقديم طلبه وتنزيل الاستمارة ومتابعة الحالة واستكمال الملاحظات، دون الوصول إلى بيانات الآخرين.</w:t>
      </w:r>
    </w:p>
    <w:p>
      <w:pPr>
        <w:bidi w:val="1"/>
        <w:jc w:val="start"/>
      </w:pPr>
      <w:r>
        <w:rPr>
          <w:rFonts w:ascii="Noto Sans Arabic" w:hAnsi="Noto Sans Arabic" w:cs="Noto Sans Arabic" w:eastAsia="Noto Sans Arabic"/>
          <w:sz w:val="22"/>
          <w:szCs w:val="22"/>
          <w:rtl w:val="1"/>
          <w:lang w:bidi="ar-EG"/>
          <w:color w:val="18394D"/>
          <w:b w:val="1"/>
          <w:bCs w:val="1"/>
        </w:rPr>
        <w:t xml:space="preserve">٢.  الموظف:  </w:t>
      </w:r>
      <w:r>
        <w:t>البحث والمراجعة واتخاذ القرار في الطلبات وفق صلاحياته، دون إنشاء حسابات إدارية.</w:t>
      </w:r>
    </w:p>
    <w:p>
      <w:pPr>
        <w:bidi w:val="1"/>
        <w:jc w:val="start"/>
      </w:pPr>
      <w:r>
        <w:rPr>
          <w:rFonts w:ascii="Noto Sans Arabic" w:hAnsi="Noto Sans Arabic" w:cs="Noto Sans Arabic" w:eastAsia="Noto Sans Arabic"/>
          <w:sz w:val="22"/>
          <w:szCs w:val="22"/>
          <w:rtl w:val="1"/>
          <w:lang w:bidi="ar-EG"/>
          <w:color w:val="18394D"/>
          <w:b w:val="1"/>
          <w:bCs w:val="1"/>
        </w:rPr>
        <w:t xml:space="preserve">٣.  المسؤول الرئيسي:  </w:t>
      </w:r>
      <w:r>
        <w:t>إضافة الموظفين وتعطيل حساباتهم وإدارة صلاحياتهم، إلى جانب أعمال المراجعة.</w:t>
      </w:r>
    </w:p>
    <w:p>
      <w:pPr>
        <w:pStyle w:val="Heading2"/>
        <w:widowControl/>
        <w:bidi w:val="1"/>
        <w:jc w:val="start"/>
      </w:pPr>
      <w:r>
        <w:t>طريقة تسجيل الدخول</w:t>
      </w:r>
    </w:p>
    <w:p>
      <w:pPr>
        <w:widowControl/>
        <w:bidi w:val="1"/>
        <w:jc w:val="start"/>
      </w:pPr>
      <w:r>
        <w:t>تُحدد مع تقنية المعلومات: إما الربط الرسمي بحسابات الجامعة، أو الدخول بواسطة Google مع ربط الحساب بسجل طالب موثَّق. ويُتحقق من انتماء المستخدم لكلية التجارة؛ فحساب Google الشخصي وحده لا يثبت صفة الطالب.</w:t>
      </w:r>
    </w:p>
    <w:p>
      <w:pPr>
        <w:widowControl/>
        <w:bidi w:val="1"/>
        <w:jc w:val="start"/>
      </w:pPr>
      <w:r>
        <w:t>تُطبق الصلاحيات داخل النظام، وتُضبط آليات تفعيل الحسابات واستردادها، مع حماية بيانات الهوية من التعديل غير المصرح به.</w:t>
      </w:r>
    </w:p>
    <w:p>
      <w:pPr>
        <w:pStyle w:val="Heading2"/>
        <w:widowControl/>
        <w:bidi w:val="1"/>
        <w:jc w:val="start"/>
      </w:pPr>
      <w:r>
        <w:t>دور المساعد الذكي</w:t>
      </w:r>
    </w:p>
    <w:p>
      <w:pPr>
        <w:widowControl/>
        <w:bidi w:val="1"/>
        <w:jc w:val="start"/>
      </w:pPr>
      <w:r>
        <w:t>يمكن للمساعد قراءة بيانات المستندات واقتراح تعبئة الحقول وصياغة وصف النشاط والتنبيه إلى النواقص، مع مراجعة الطالب قبل الإرسال. أما الاستمارة فتُنتج بقالب ثابت لضمان دقة التنسيق، ويظل اعتماد النشاط ومنح الدرجة من اختصاص الموظف. ويُحدد مكان تشغيل المساعد بعد تقييم الدقة والموارد وحماية البيانات.</w:t>
      </w:r>
    </w:p>
    <w:p>
      <w:r>
        <w:br w:type="page"/>
      </w:r>
    </w:p>
    <w:p>
      <w:pPr>
        <w:widowControl/>
        <w:bidi w:val="1"/>
        <w:jc w:val="start"/>
      </w:pPr>
      <w:r>
        <w:rPr>
          <w:rFonts w:ascii="Noto Sans Arabic" w:hAnsi="Noto Sans Arabic" w:cs="Noto Sans Arabic" w:eastAsia="Noto Sans Arabic"/>
          <w:sz w:val="20"/>
          <w:szCs w:val="20"/>
          <w:rtl w:val="1"/>
          <w:lang w:bidi="ar-EG"/>
          <w:color w:val="246D75"/>
          <w:b w:val="1"/>
          <w:bCs w:val="1"/>
        </w:rPr>
        <w:t>خطة العمل  /  ٠٣</w:t>
      </w:r>
    </w:p>
    <w:p>
      <w:pPr>
        <w:pStyle w:val="Title"/>
        <w:widowControl/>
        <w:bidi w:val="1"/>
        <w:jc w:val="start"/>
      </w:pPr>
      <w:r>
        <w:t>التنفيذ والاختبار والتعميم</w:t>
      </w:r>
    </w:p>
    <w:p>
      <w:pPr>
        <w:pStyle w:val="Heading2"/>
        <w:widowControl/>
        <w:bidi w:val="1"/>
        <w:jc w:val="start"/>
      </w:pPr>
      <w:r>
        <w:t>مراحل التنفيذ</w:t>
      </w:r>
    </w:p>
    <w:p>
      <w:pPr>
        <w:bidi w:val="1"/>
        <w:jc w:val="start"/>
      </w:pPr>
      <w:r>
        <w:rPr>
          <w:rFonts w:ascii="Noto Sans Arabic" w:hAnsi="Noto Sans Arabic" w:cs="Noto Sans Arabic" w:eastAsia="Noto Sans Arabic"/>
          <w:sz w:val="22"/>
          <w:szCs w:val="22"/>
          <w:rtl w:val="1"/>
          <w:lang w:bidi="ar-EG"/>
          <w:color w:val="18394D"/>
          <w:b w:val="1"/>
          <w:bCs w:val="1"/>
        </w:rPr>
        <w:t xml:space="preserve">١.  تحديد المتطلبات:  </w:t>
      </w:r>
      <w:r>
        <w:t>تثبيت نموذج الاستمارة والبيانات والمستندات وقواعد الاستحقاق والصلاحيات، وتحديد طريقة الدخول والجهة التقنية المسؤولة.</w:t>
      </w:r>
    </w:p>
    <w:p>
      <w:pPr>
        <w:bidi w:val="1"/>
        <w:jc w:val="start"/>
      </w:pPr>
      <w:r>
        <w:rPr>
          <w:rFonts w:ascii="Noto Sans Arabic" w:hAnsi="Noto Sans Arabic" w:cs="Noto Sans Arabic" w:eastAsia="Noto Sans Arabic"/>
          <w:sz w:val="22"/>
          <w:szCs w:val="22"/>
          <w:rtl w:val="1"/>
          <w:lang w:bidi="ar-EG"/>
          <w:color w:val="18394D"/>
          <w:b w:val="1"/>
          <w:bCs w:val="1"/>
        </w:rPr>
        <w:t xml:space="preserve">٢.  تصميم الواجهات:  </w:t>
      </w:r>
      <w:r>
        <w:t>إعداد شاشات الطالب والموظف والمسؤول الرئيسي بهوية الكلية، مع مراعاة وضوح العربية وسهولة الاستخدام على الهاتف والكمبيوتر.</w:t>
      </w:r>
    </w:p>
    <w:p>
      <w:pPr>
        <w:bidi w:val="1"/>
        <w:jc w:val="start"/>
      </w:pPr>
      <w:r>
        <w:rPr>
          <w:rFonts w:ascii="Noto Sans Arabic" w:hAnsi="Noto Sans Arabic" w:cs="Noto Sans Arabic" w:eastAsia="Noto Sans Arabic"/>
          <w:sz w:val="22"/>
          <w:szCs w:val="22"/>
          <w:rtl w:val="1"/>
          <w:lang w:bidi="ar-EG"/>
          <w:color w:val="18394D"/>
          <w:b w:val="1"/>
          <w:bCs w:val="1"/>
        </w:rPr>
        <w:t xml:space="preserve">٣.  التطوير:  </w:t>
      </w:r>
      <w:r>
        <w:t>تنفيذ الحسابات والطلبات والمرفقات والاستمارة والمراجعة والدرجات وسجل الإجراءات، وتجربة الوظائف ببيانات اختبار.</w:t>
      </w:r>
    </w:p>
    <w:p>
      <w:pPr>
        <w:bidi w:val="1"/>
        <w:jc w:val="start"/>
      </w:pPr>
      <w:r>
        <w:rPr>
          <w:rFonts w:ascii="Noto Sans Arabic" w:hAnsi="Noto Sans Arabic" w:cs="Noto Sans Arabic" w:eastAsia="Noto Sans Arabic"/>
          <w:sz w:val="22"/>
          <w:szCs w:val="22"/>
          <w:rtl w:val="1"/>
          <w:lang w:bidi="ar-EG"/>
          <w:color w:val="18394D"/>
          <w:b w:val="1"/>
          <w:bCs w:val="1"/>
        </w:rPr>
        <w:t xml:space="preserve">٤.  التجربة والتسليم:  </w:t>
      </w:r>
      <w:r>
        <w:t>اختبار دورة العمل مع الطلاب والموظفين ومعالجة الملاحظات، ثم تجهيز الحسابات وتدريب الموظفين وتسليم دليل التشغيل.</w:t>
      </w:r>
    </w:p>
    <w:p>
      <w:pPr>
        <w:bidi w:val="1"/>
        <w:jc w:val="start"/>
      </w:pPr>
      <w:r>
        <w:rPr>
          <w:rFonts w:ascii="Noto Sans Arabic" w:hAnsi="Noto Sans Arabic" w:cs="Noto Sans Arabic" w:eastAsia="Noto Sans Arabic"/>
          <w:sz w:val="22"/>
          <w:szCs w:val="22"/>
          <w:rtl w:val="1"/>
          <w:lang w:bidi="ar-EG"/>
          <w:color w:val="18394D"/>
          <w:b w:val="1"/>
          <w:bCs w:val="1"/>
        </w:rPr>
        <w:t xml:space="preserve">٥.  التعميم:  </w:t>
      </w:r>
      <w:r>
        <w:t>إنشاء نسخة مستقلة لكل كلية من الإصدار المستقر، وتخصيص اسمها وشعارها وطلابها وموظفيها، واختبارها قبل تشغيلها.</w:t>
      </w:r>
    </w:p>
    <w:p>
      <w:pPr>
        <w:pStyle w:val="Heading2"/>
        <w:widowControl/>
        <w:bidi w:val="1"/>
        <w:jc w:val="start"/>
      </w:pPr>
      <w:r>
        <w:t>الربط بالجامعة وحماية البيانات</w:t>
      </w:r>
    </w:p>
    <w:p>
      <w:pPr>
        <w:widowControl/>
        <w:bidi w:val="1"/>
        <w:jc w:val="start"/>
      </w:pPr>
      <w:r>
        <w:t>تُربط المواقع بسيرفرات الجامعة الرئيسية وفق الآلية الرسمية المتاحة. ويُحدد مصدر بيانات الطلاب، ومكان حفظ الطلبات والمرفقات، وطريقة إرسال الاعتماد والدرجات، وآلية معالجة انقطاع الاتصال ومنع تكرار السجلات.</w:t>
      </w:r>
    </w:p>
    <w:p>
      <w:pPr>
        <w:widowControl/>
        <w:bidi w:val="1"/>
        <w:jc w:val="start"/>
      </w:pPr>
      <w:r>
        <w:t>يشمل التنفيذ حماية الوصول إلى الملفات والبيانات، وفصل صلاحيات الكليات، وتسجيل العمليات المهمة، والنسخ الاحتياطي واختبار الاسترجاع. ويُحفظ إصدار مرجعي للمشروع لتسهيل تحديث النسخ لاحقًا.</w:t>
      </w:r>
    </w:p>
    <w:p>
      <w:pPr>
        <w:pStyle w:val="Heading2"/>
        <w:widowControl/>
        <w:bidi w:val="1"/>
        <w:jc w:val="start"/>
      </w:pPr>
      <w:r>
        <w:t>ما يلزم تحديده لاستكمال العمل</w:t>
      </w:r>
    </w:p>
    <w:p>
      <w:pPr>
        <w:widowControl/>
        <w:bidi w:val="1"/>
        <w:jc w:val="start"/>
      </w:pPr>
      <w:r>
        <w:t>نموذج الاستمارة والشعارات الرسمية، والأنشطة والمستندات المقبولة، والفترة الدراسية لاستحقاق الأربعين درجة، ومكتب التسليم، والموظفون والمسؤول الرئيسي، وطريقة الدخول والاستضافة والربط مع الجامعة.</w:t>
      </w:r>
    </w:p>
    <w:p>
      <w:pPr>
        <w:pStyle w:val="Heading2"/>
        <w:widowControl/>
        <w:bidi w:val="1"/>
        <w:jc w:val="start"/>
      </w:pPr>
      <w:r>
        <w:t>معايير الجاهزية للتشغيل</w:t>
      </w:r>
    </w:p>
    <w:p>
      <w:pPr>
        <w:widowControl/>
        <w:bidi w:val="1"/>
        <w:jc w:val="start"/>
      </w:pPr>
      <w:r>
        <w:t>بعد نجاح دورة التقديم والاعتماد، وصحة الاستمارة والدرجة، ومنع تكرار الاستحقاق وتجاوز الصلاحيات، واجتياز اختبارات الاستخدام المتزامن والنسخ الاحتياطي والاسترجاع. ويُختبر الربط المركزي فعليًا قبل اعتماده، وتُحدد المواعيد والموارد بعد حسم المتطلبات.</w:t>
      </w:r>
    </w:p>
    <w:sectPr w:rsidR="00FC693F" w:rsidRPr="0006063C" w:rsidSect="00034616">
      <w:headerReference w:type="default" r:id="rId9"/>
      <w:footerReference w:type="default" r:id="rId10"/>
      <w:pgSz w:w="11906" w:h="16838"/>
      <w:pgMar w:top="1077" w:right="1191" w:bottom="1020" w:left="1191"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Arabic">
    <w:embedRegular r:id="rIdEmbeddedArabicRegular" w:fontKey="{86DA3D76-FD27-4ABA-AF1B-D983DF31CEB1}"/>
    <w:embedBold r:id="rIdEmbeddedArabicBold" w:fontKey="{8BADBCE4-6A16-4494-BE36-353F49AD2D2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Noto Sans Arabic" w:hAnsi="Noto Sans Arabic" w:cs="Noto Sans Arabic" w:eastAsia="Noto Sans Arabic"/>
        <w:sz w:val="16"/>
        <w:szCs w:val="16"/>
        <w:rtl w:val="1"/>
        <w:lang w:bidi="ar-EG"/>
        <w:color w:val="637481"/>
      </w:rPr>
      <w:t xml:space="preserve">عرض تنفيذي  •  ٢٥ أكتوبر ٢٠٢٦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Bdr>
        <w:bottom w:val="single" w:sz="6" w:space="7" w:color="CBD8DE"/>
      </w:pBdr>
    </w:pPr>
    <w:r>
      <w:rPr>
        <w:rFonts w:ascii="Noto Sans Arabic" w:hAnsi="Noto Sans Arabic" w:cs="Noto Sans Arabic" w:eastAsia="Noto Sans Arabic"/>
        <w:sz w:val="17"/>
        <w:szCs w:val="17"/>
        <w:rtl w:val="1"/>
        <w:lang w:bidi="ar-EG"/>
        <w:color w:val="637481"/>
      </w:rPr>
      <w:t>كلية التجارة  /  منظومة النشاط الطلابي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0" w:lineRule="exact" w:after="140"/>
    </w:pPr>
    <w:rPr>
      <w:rFonts w:ascii="Noto Sans Arabic" w:hAnsi="Noto Sans Arabic" w:cs="Noto Sans Arabic" w:eastAsia="Noto Sans Arabic"/>
      <w:sz w:val="22"/>
      <w:szCs w:val="22"/>
      <w:rtl w:val="1"/>
      <w:lang w:bidi="ar-EG"/>
      <w:color w:val="24313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60" w:lineRule="exact"/>
      <w:outlineLvl w:val="0"/>
    </w:pPr>
    <w:rPr>
      <w:rFonts w:asciiTheme="majorHAnsi" w:eastAsiaTheme="majorEastAsia" w:hAnsiTheme="majorHAnsi" w:cstheme="majorBidi"/>
      <w:b/>
      <w:bCs/>
      <w:color w:val="365F91" w:themeColor="accent1" w:themeShade="BF"/>
      <w:sz w:val="28"/>
      <w:szCs w:val="28"/>
      <w:rFonts w:ascii="Noto Sans Arabic" w:hAnsi="Noto Sans Arabic" w:cs="Noto Sans Arabic" w:eastAsia="Noto Sans Arabic"/>
      <w:sz w:val="36"/>
      <w:szCs w:val="36"/>
      <w:rtl w:val="1"/>
      <w:lang w:bidi="ar-EG"/>
      <w:color w:val="18394D"/>
      <w:b w:val="1"/>
      <w:bCs w:val="1"/>
    </w:rPr>
  </w:style>
  <w:style w:type="paragraph" w:styleId="Heading2">
    <w:name w:val="heading 2"/>
    <w:basedOn w:val="Normal"/>
    <w:next w:val="Normal"/>
    <w:link w:val="Heading2Char"/>
    <w:uiPriority w:val="9"/>
    <w:unhideWhenUsed/>
    <w:qFormat/>
    <w:rsid w:val="00FC693F"/>
    <w:pPr>
      <w:keepNext/>
      <w:keepLines/>
      <w:spacing w:before="200" w:after="120" w:line="460" w:lineRule="exact"/>
      <w:outlineLvl w:val="1"/>
    </w:pPr>
    <w:rPr>
      <w:rFonts w:asciiTheme="majorHAnsi" w:eastAsiaTheme="majorEastAsia" w:hAnsiTheme="majorHAnsi" w:cstheme="majorBidi"/>
      <w:b/>
      <w:bCs/>
      <w:color w:val="4F81BD" w:themeColor="accent1"/>
      <w:sz w:val="26"/>
      <w:szCs w:val="26"/>
      <w:rFonts w:ascii="Noto Sans Arabic" w:hAnsi="Noto Sans Arabic" w:cs="Noto Sans Arabic" w:eastAsia="Noto Sans Arabic"/>
      <w:sz w:val="26"/>
      <w:szCs w:val="26"/>
      <w:rtl w:val="1"/>
      <w:lang w:bidi="ar-EG"/>
      <w:color w:val="18394D"/>
      <w:b w:val="1"/>
      <w:bCs w:val="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640" w:lineRule="exact" w:before="200"/>
      <w:contextualSpacing/>
    </w:pPr>
    <w:rPr>
      <w:rFonts w:asciiTheme="majorHAnsi" w:eastAsiaTheme="majorEastAsia" w:hAnsiTheme="majorHAnsi" w:cstheme="majorBidi"/>
      <w:color w:val="17365D" w:themeColor="text2" w:themeShade="BF"/>
      <w:spacing w:val="5"/>
      <w:kern w:val="28"/>
      <w:sz w:val="52"/>
      <w:szCs w:val="52"/>
      <w:rFonts w:ascii="Noto Sans Arabic" w:hAnsi="Noto Sans Arabic" w:cs="Noto Sans Arabic" w:eastAsia="Noto Sans Arabic"/>
      <w:sz w:val="46"/>
      <w:szCs w:val="46"/>
      <w:rtl w:val="1"/>
      <w:lang w:bidi="ar-EG"/>
      <w:color w:val="18394D"/>
      <w:b w:val="1"/>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EmbeddedArabicRegular" Type="http://schemas.openxmlformats.org/officeDocument/2006/relationships/font" Target="fonts/NotoSansArabicRegular.odttf"/><Relationship Id="rIdEmbeddedArabicBold" Type="http://schemas.openxmlformats.org/officeDocument/2006/relationships/font" Target="fonts/NotoSansArabic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منظومة تسجيل النشاط الطلابي واعتماده بكلية التجارة — العرض التنفيذي</dc:title>
  <dc:subject>آلية العمل والصلاحيات وخطوات التنفيذ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