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4"/>
        <w:gridCol w:w="4054"/>
        <w:gridCol w:w="1757"/>
      </w:tblGrid>
      <w:tr w:rsidR="002134DC">
        <w:trPr>
          <w:jc w:val="center"/>
        </w:trPr>
        <w:tc>
          <w:tcPr>
            <w:tcW w:w="8108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</w:tcPr>
          <w:p w:rsidR="002134DC" w:rsidRDefault="00523DB3">
            <w:pPr>
              <w:spacing w:before="42" w:line="660" w:lineRule="atLeast"/>
              <w:rPr>
                <w:rFonts w:ascii="Times New Roman" w:eastAsia="黑体" w:hAnsi="Times New Roman" w:cs="Times New Roman"/>
                <w:sz w:val="44"/>
                <w:szCs w:val="44"/>
              </w:rPr>
            </w:pPr>
            <w:r>
              <w:rPr>
                <w:rFonts w:ascii="Times New Roman" w:eastAsia="黑体" w:hAnsi="Times New Roman" w:cs="Times New Roman"/>
                <w:b/>
                <w:bCs/>
                <w:sz w:val="44"/>
                <w:szCs w:val="44"/>
              </w:rPr>
              <w:t>丁文东</w:t>
            </w:r>
          </w:p>
        </w:tc>
        <w:tc>
          <w:tcPr>
            <w:tcW w:w="1757" w:type="dxa"/>
            <w:vMerge w:val="restart"/>
            <w:tcMar>
              <w:top w:w="0" w:type="dxa"/>
              <w:left w:w="170" w:type="dxa"/>
              <w:bottom w:w="0" w:type="dxa"/>
              <w:right w:w="170" w:type="dxa"/>
            </w:tcMar>
          </w:tcPr>
          <w:p w:rsidR="002134DC" w:rsidRDefault="00523DB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>
                  <wp:extent cx="554990" cy="790575"/>
                  <wp:effectExtent l="0" t="0" r="0" b="9525"/>
                  <wp:docPr id="2" name="图片 2" descr="N:\photo\My Pictures\DSC_08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N:\photo\My Pictures\DSC_08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759" cy="793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4DC">
        <w:trPr>
          <w:jc w:val="center"/>
        </w:trPr>
        <w:tc>
          <w:tcPr>
            <w:tcW w:w="4054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spacing w:before="21" w:after="21" w:line="3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电子邮箱：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dingwendong2013@ia.ac.cn</w:t>
            </w:r>
          </w:p>
        </w:tc>
        <w:tc>
          <w:tcPr>
            <w:tcW w:w="4054" w:type="dxa"/>
          </w:tcPr>
          <w:p w:rsidR="002134DC" w:rsidRDefault="00523DB3">
            <w:pPr>
              <w:spacing w:before="21" w:after="21" w:line="3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联系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电话：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(+86)153-0130-8336</w:t>
            </w:r>
          </w:p>
        </w:tc>
        <w:tc>
          <w:tcPr>
            <w:tcW w:w="1757" w:type="dxa"/>
            <w:vMerge/>
            <w:shd w:val="clear" w:color="auto" w:fill="FFFFFF"/>
          </w:tcPr>
          <w:p w:rsidR="002134DC" w:rsidRDefault="002134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134DC" w:rsidRDefault="002134DC"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5"/>
      </w:tblGrid>
      <w:tr w:rsidR="002134DC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AA84F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2134DC">
            <w:pPr>
              <w:spacing w:before="42" w:after="42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134DC" w:rsidRDefault="002134DC">
      <w:pPr>
        <w:rPr>
          <w:rFonts w:ascii="Times New Roman" w:hAnsi="Times New Roman" w:cs="Times New Roman"/>
          <w:vanish/>
          <w:sz w:val="2"/>
          <w:szCs w:val="2"/>
        </w:rPr>
      </w:pPr>
    </w:p>
    <w:p w:rsidR="002134DC" w:rsidRDefault="002134DC"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5"/>
      </w:tblGrid>
      <w:tr w:rsidR="002134DC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12" w:space="0" w:color="CCCCC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spacing w:before="21" w:after="21" w:line="330" w:lineRule="atLeast"/>
              <w:rPr>
                <w:rFonts w:ascii="Times New Roman" w:hAnsi="Times New Roman" w:cs="Times New Roman"/>
                <w:color w:val="6AA84F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6AA84F"/>
                <w:sz w:val="22"/>
                <w:szCs w:val="22"/>
              </w:rPr>
              <w:t>教育背景</w:t>
            </w:r>
          </w:p>
        </w:tc>
      </w:tr>
      <w:tr w:rsidR="002134DC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2134DC">
            <w:pPr>
              <w:spacing w:before="21" w:after="21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134DC" w:rsidRDefault="002134DC"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2980"/>
        <w:gridCol w:w="2744"/>
        <w:gridCol w:w="1589"/>
      </w:tblGrid>
      <w:tr w:rsidR="002134DC">
        <w:trPr>
          <w:jc w:val="center"/>
        </w:trPr>
        <w:tc>
          <w:tcPr>
            <w:tcW w:w="255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2013.09 –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至今</w:t>
            </w:r>
          </w:p>
        </w:tc>
        <w:tc>
          <w:tcPr>
            <w:tcW w:w="2980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中国科学院自动化研究所</w:t>
            </w:r>
          </w:p>
        </w:tc>
        <w:tc>
          <w:tcPr>
            <w:tcW w:w="2744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spacing w:before="21" w:after="2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控制理论与控制工程</w:t>
            </w:r>
          </w:p>
        </w:tc>
        <w:tc>
          <w:tcPr>
            <w:tcW w:w="1589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spacing w:before="21" w:after="21" w:line="23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在读博士</w:t>
            </w:r>
          </w:p>
        </w:tc>
      </w:tr>
      <w:tr w:rsidR="002134DC">
        <w:trPr>
          <w:jc w:val="center"/>
        </w:trPr>
        <w:tc>
          <w:tcPr>
            <w:tcW w:w="255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2009.09 – 2013.06</w:t>
            </w:r>
          </w:p>
        </w:tc>
        <w:tc>
          <w:tcPr>
            <w:tcW w:w="2980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spacing w:before="31" w:after="31" w:line="23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武汉理工大学（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211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  <w:tc>
          <w:tcPr>
            <w:tcW w:w="2744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spacing w:before="21" w:after="21" w:line="23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电子科学与技术</w:t>
            </w:r>
          </w:p>
        </w:tc>
        <w:tc>
          <w:tcPr>
            <w:tcW w:w="1589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spacing w:before="21" w:after="21" w:line="230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工学学士</w:t>
            </w:r>
          </w:p>
        </w:tc>
      </w:tr>
      <w:tr w:rsidR="002134DC">
        <w:trPr>
          <w:jc w:val="center"/>
        </w:trPr>
        <w:tc>
          <w:tcPr>
            <w:tcW w:w="255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numPr>
                <w:ilvl w:val="0"/>
                <w:numId w:val="1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专业排名：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1/97</w:t>
            </w:r>
          </w:p>
        </w:tc>
        <w:tc>
          <w:tcPr>
            <w:tcW w:w="2980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numPr>
                <w:ilvl w:val="0"/>
                <w:numId w:val="1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GPA:3.7/4.0</w:t>
            </w:r>
          </w:p>
        </w:tc>
        <w:tc>
          <w:tcPr>
            <w:tcW w:w="4333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numPr>
                <w:ilvl w:val="0"/>
                <w:numId w:val="1"/>
              </w:numPr>
              <w:spacing w:before="21" w:after="21" w:line="23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推荐保送中科院自动化研究所</w:t>
            </w:r>
          </w:p>
        </w:tc>
      </w:tr>
    </w:tbl>
    <w:p w:rsidR="002134DC" w:rsidRDefault="002134DC"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5"/>
      </w:tblGrid>
      <w:tr w:rsidR="002134DC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12" w:space="0" w:color="CCCCC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spacing w:before="21" w:after="21" w:line="330" w:lineRule="atLeast"/>
              <w:rPr>
                <w:rFonts w:ascii="Times New Roman" w:hAnsi="Times New Roman" w:cs="Times New Roman"/>
                <w:color w:val="6AA84F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6AA84F"/>
                <w:sz w:val="22"/>
                <w:szCs w:val="22"/>
              </w:rPr>
              <w:t>科研项目经历</w:t>
            </w:r>
          </w:p>
        </w:tc>
      </w:tr>
      <w:tr w:rsidR="002134DC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2134DC">
            <w:pPr>
              <w:spacing w:before="21" w:after="21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134DC" w:rsidRDefault="002134DC"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3544"/>
        <w:gridCol w:w="20"/>
        <w:gridCol w:w="744"/>
        <w:gridCol w:w="1221"/>
        <w:gridCol w:w="2068"/>
      </w:tblGrid>
      <w:tr w:rsidR="002134DC">
        <w:trPr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  <w:szCs w:val="20"/>
              </w:rPr>
              <w:t>研究生阶段</w:t>
            </w:r>
          </w:p>
        </w:tc>
      </w:tr>
      <w:tr w:rsidR="002134DC">
        <w:trPr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.09 -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至今</w:t>
            </w:r>
          </w:p>
        </w:tc>
        <w:tc>
          <w:tcPr>
            <w:tcW w:w="3564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室内移动机器人视觉惯性导航系统</w:t>
            </w:r>
          </w:p>
        </w:tc>
        <w:tc>
          <w:tcPr>
            <w:tcW w:w="4033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spacing w:before="21" w:after="21" w:line="23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程序员（软件部分）</w:t>
            </w:r>
          </w:p>
        </w:tc>
      </w:tr>
      <w:tr w:rsidR="002134DC">
        <w:trPr>
          <w:trHeight w:val="221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numPr>
                <w:ilvl w:val="0"/>
                <w:numId w:val="2"/>
              </w:numPr>
              <w:spacing w:before="21" w:after="21" w:line="230" w:lineRule="atLeas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作为主要成员搭建了室内移动机器人的相机、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IMU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系统，完成系统标定。优化、修改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DSO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系统为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VIO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系统，并移植到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TK1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 xml:space="preserve">NVIDIA 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嵌入式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GPU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）系统。使用深度网络实现图像的语义分析，构建语义地图辅助视觉定位。</w:t>
            </w:r>
          </w:p>
          <w:p w:rsidR="002134DC" w:rsidRDefault="00523DB3">
            <w:pPr>
              <w:numPr>
                <w:ilvl w:val="0"/>
                <w:numId w:val="2"/>
              </w:numPr>
              <w:spacing w:before="21" w:after="21" w:line="23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在室内安装二维码（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AprilTag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），搭建基于二维码的视觉室内定位基准系统。</w:t>
            </w:r>
          </w:p>
          <w:p w:rsidR="002134DC" w:rsidRDefault="00523DB3">
            <w:pPr>
              <w:numPr>
                <w:ilvl w:val="0"/>
                <w:numId w:val="2"/>
              </w:numPr>
              <w:spacing w:before="21" w:after="21" w:line="23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0000"/>
                <w:sz w:val="20"/>
                <w:szCs w:val="20"/>
              </w:rPr>
              <w:t>丁文东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，徐德，刘希龙，张大朋，陈天，移动机器人视觉定位综述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自动化学报。（在审）</w:t>
            </w:r>
          </w:p>
          <w:p w:rsidR="002134DC" w:rsidRDefault="002134DC">
            <w:pPr>
              <w:spacing w:before="21" w:after="21" w:line="23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134DC">
        <w:trPr>
          <w:trHeight w:val="322"/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spacing w:before="21" w:after="2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- 201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.1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0</w:t>
            </w:r>
          </w:p>
        </w:tc>
        <w:tc>
          <w:tcPr>
            <w:tcW w:w="3544" w:type="dxa"/>
          </w:tcPr>
          <w:p w:rsidR="002134DC" w:rsidRDefault="00523DB3">
            <w:pPr>
              <w:spacing w:before="21" w:after="2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无人机相对定位设计验证平台</w:t>
            </w:r>
          </w:p>
        </w:tc>
        <w:tc>
          <w:tcPr>
            <w:tcW w:w="4053" w:type="dxa"/>
            <w:gridSpan w:val="4"/>
          </w:tcPr>
          <w:p w:rsidR="002134DC" w:rsidRDefault="00523DB3">
            <w:pPr>
              <w:spacing w:before="21" w:after="21" w:line="23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程序员（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软件部分开发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</w:tr>
      <w:tr w:rsidR="002134DC">
        <w:trPr>
          <w:trHeight w:val="322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pStyle w:val="10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作为主要成员搭建四旋翼无人机平台硬件，编写了机载云台的驱动和位姿估计代码，地面站状态显示软件。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C++/ROS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开发，包含定位节点、跟踪节点、云台控制节点、地面站节点。实现变焦系统下对合作目标的跟踪，无人机位姿估计。</w:t>
            </w:r>
          </w:p>
          <w:p w:rsidR="002134DC" w:rsidRDefault="00523DB3">
            <w:pPr>
              <w:pStyle w:val="10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通过解决离焦条件下对图像控制点的精确提取，实现对离焦图像鲁棒的相机标定方法。</w:t>
            </w:r>
          </w:p>
          <w:p w:rsidR="002134DC" w:rsidRDefault="00523DB3">
            <w:pPr>
              <w:pStyle w:val="10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W. Ding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D. Xu, X. Liu, D. Zhang, “A Robust Detection Method of Control Points for Calibration and Measurement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with Defocused Images”, IEEE Transactions on Instrumentation and Measurement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(under review)</w:t>
            </w:r>
          </w:p>
          <w:p w:rsidR="002134DC" w:rsidRDefault="002134DC">
            <w:pPr>
              <w:spacing w:before="21" w:after="21" w:line="230" w:lineRule="atLeas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134DC">
        <w:trPr>
          <w:trHeight w:val="322"/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spacing w:before="21" w:after="21" w:line="23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2014.0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- 201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11</w:t>
            </w:r>
          </w:p>
        </w:tc>
        <w:tc>
          <w:tcPr>
            <w:tcW w:w="5529" w:type="dxa"/>
            <w:gridSpan w:val="4"/>
          </w:tcPr>
          <w:p w:rsidR="002134DC" w:rsidRDefault="00523DB3">
            <w:pPr>
              <w:spacing w:before="21" w:after="21" w:line="23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反射镜表面颗粒物在线监测</w:t>
            </w:r>
          </w:p>
        </w:tc>
        <w:tc>
          <w:tcPr>
            <w:tcW w:w="2068" w:type="dxa"/>
          </w:tcPr>
          <w:p w:rsidR="002134DC" w:rsidRDefault="00523DB3">
            <w:pPr>
              <w:spacing w:before="21" w:after="21" w:line="23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程序员（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软件开发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</w:tr>
      <w:tr w:rsidR="002134DC">
        <w:trPr>
          <w:trHeight w:val="322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作为主要成员搭建反射镜暗场成像系统，编写了系统的图像采集、镜头控制、颗粒提取。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C++/MFC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开发。</w:t>
            </w:r>
          </w:p>
          <w:p w:rsidR="002134DC" w:rsidRDefault="00523DB3"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0000"/>
                <w:sz w:val="20"/>
                <w:szCs w:val="20"/>
              </w:rPr>
              <w:t>W. Ding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 xml:space="preserve">, D. Xu, Z. Zhang and D. Zhang, 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 xml:space="preserve">Particle detection on low 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contrast image of large aperture optics,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 xml:space="preserve"> 2016 Chinese Control and Decision Conference , Yinchuan, 2016, pp. 5209-5214.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EI index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）</w:t>
            </w:r>
          </w:p>
          <w:p w:rsidR="002134DC" w:rsidRDefault="00523DB3"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W. Ding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Z. Zhang, D. Zhang, D. Xu, H. Lv, X. Miao, G. Zhou, H. Liu, “An Effective On-line Surface Particles Inspection Instru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ment for Large Aperture Optical Element” International Journal of Automation and Computing. (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EI index, Received)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:rsidR="002134DC" w:rsidRDefault="00523DB3"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0000"/>
                <w:sz w:val="20"/>
                <w:szCs w:val="20"/>
              </w:rPr>
              <w:t>丁文东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，张正涛，张大鹏，陶显，史亚莉，吕海兵，苗心向，周国瑞，一种高分辨率显微视觉成像装置与控制方法，申请公布号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 xml:space="preserve">: CN104410775A 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，申请公布日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:2015.03.11</w:t>
            </w:r>
          </w:p>
          <w:p w:rsidR="002134DC" w:rsidRDefault="00523DB3"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张大朋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张正涛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  <w:sz w:val="20"/>
                <w:szCs w:val="20"/>
              </w:rPr>
              <w:t>丁文东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徐德，光学元件表面颗粒物在线监测装置及其在线监测的方法，申请公布号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CN105928949A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，申请公布日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:2015.09.07</w:t>
            </w:r>
          </w:p>
          <w:p w:rsidR="002134DC" w:rsidRDefault="002134DC">
            <w:pPr>
              <w:spacing w:before="21" w:after="21" w:line="230" w:lineRule="atLeast"/>
              <w:ind w:right="2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134DC">
        <w:trPr>
          <w:trHeight w:val="322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spacing w:before="21" w:after="21" w:line="230" w:lineRule="atLeast"/>
              <w:ind w:right="2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  <w:szCs w:val="20"/>
              </w:rPr>
              <w:t>本科阶段</w:t>
            </w:r>
          </w:p>
        </w:tc>
      </w:tr>
      <w:tr w:rsidR="002134DC">
        <w:trPr>
          <w:trHeight w:val="322"/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spacing w:before="21" w:after="21" w:line="230" w:lineRule="atLeast"/>
              <w:ind w:right="20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2013.03 - 2013.06</w:t>
            </w:r>
          </w:p>
        </w:tc>
        <w:tc>
          <w:tcPr>
            <w:tcW w:w="4308" w:type="dxa"/>
            <w:gridSpan w:val="3"/>
          </w:tcPr>
          <w:p w:rsidR="002134DC" w:rsidRDefault="00523DB3">
            <w:pPr>
              <w:spacing w:before="21" w:after="21" w:line="230" w:lineRule="atLeast"/>
              <w:ind w:right="20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机液混合机械臂控制系统</w:t>
            </w:r>
          </w:p>
        </w:tc>
        <w:tc>
          <w:tcPr>
            <w:tcW w:w="3289" w:type="dxa"/>
            <w:gridSpan w:val="2"/>
          </w:tcPr>
          <w:p w:rsidR="002134DC" w:rsidRDefault="00523DB3">
            <w:pPr>
              <w:spacing w:before="21" w:after="21" w:line="230" w:lineRule="atLeast"/>
              <w:ind w:right="20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毕业设计（驱动、软件）</w:t>
            </w:r>
          </w:p>
        </w:tc>
      </w:tr>
      <w:tr w:rsidR="002134DC">
        <w:trPr>
          <w:trHeight w:val="322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基于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ARM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的机液混合机械臂控制系统的设计，设计首先针对液压伺服系统设计控制卡，然后研究了机械臂正逆运动学模型及路径规划并进行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MATLAB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仿真，针对液压系统特性提出模型参考自适应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PID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，用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matlab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进行了算法验证，并对系统进行了典型信号的测试。其中液压伺服驱动卡使用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stm32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作为控制核心，移植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uc/os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系统完成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实验验证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。</w:t>
            </w:r>
          </w:p>
        </w:tc>
      </w:tr>
      <w:tr w:rsidR="002134DC">
        <w:trPr>
          <w:trHeight w:val="322"/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spacing w:before="21" w:after="21" w:line="230" w:lineRule="atLeast"/>
              <w:ind w:right="20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03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- 2012.08</w:t>
            </w:r>
          </w:p>
        </w:tc>
        <w:tc>
          <w:tcPr>
            <w:tcW w:w="4308" w:type="dxa"/>
            <w:gridSpan w:val="3"/>
          </w:tcPr>
          <w:p w:rsidR="002134DC" w:rsidRDefault="00523DB3">
            <w:pPr>
              <w:spacing w:before="21" w:after="21" w:line="230" w:lineRule="atLeast"/>
              <w:ind w:right="20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湖北省大学生电子设计竞赛</w:t>
            </w:r>
          </w:p>
        </w:tc>
        <w:tc>
          <w:tcPr>
            <w:tcW w:w="3289" w:type="dxa"/>
            <w:gridSpan w:val="2"/>
          </w:tcPr>
          <w:p w:rsidR="002134DC" w:rsidRDefault="00523DB3">
            <w:pPr>
              <w:spacing w:before="21" w:after="21" w:line="230" w:lineRule="atLeast"/>
              <w:ind w:right="20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队长（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单片机代码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</w:tr>
      <w:tr w:rsidR="002134DC">
        <w:trPr>
          <w:trHeight w:val="322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首先使用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DDS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芯片完成信号源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产生幅值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0-10V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带宽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0-100KHz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的正弦信号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。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信号通过题目要求的模拟模块（频率为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4.5KHz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的低通滤波器），然后信号经过频率补偿电路，实现电压总增益为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，带宽扩展到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100kHz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，带内波动小于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±10%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、输出噪声电压均方根值小于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10mV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的要求，完成了基本部分和发挥部分所有要求。该频率补偿电路拥有很好的频率补偿功能，自制简易信号源可以实现输出信号频率幅度的连续可调。</w:t>
            </w:r>
          </w:p>
        </w:tc>
      </w:tr>
      <w:tr w:rsidR="002134DC">
        <w:trPr>
          <w:trHeight w:val="322"/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spacing w:before="21" w:after="21" w:line="230" w:lineRule="atLeast"/>
              <w:ind w:right="20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- 2012.0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4</w:t>
            </w:r>
          </w:p>
        </w:tc>
        <w:tc>
          <w:tcPr>
            <w:tcW w:w="4308" w:type="dxa"/>
            <w:gridSpan w:val="3"/>
          </w:tcPr>
          <w:p w:rsidR="002134DC" w:rsidRDefault="00523DB3">
            <w:pPr>
              <w:spacing w:before="21" w:after="21" w:line="230" w:lineRule="atLeast"/>
              <w:ind w:right="20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智能电网用户端电能监测系统</w:t>
            </w:r>
          </w:p>
        </w:tc>
        <w:tc>
          <w:tcPr>
            <w:tcW w:w="3289" w:type="dxa"/>
            <w:gridSpan w:val="2"/>
          </w:tcPr>
          <w:p w:rsidR="002134DC" w:rsidRDefault="00523DB3">
            <w:pPr>
              <w:spacing w:before="21" w:after="21" w:line="230" w:lineRule="atLeast"/>
              <w:ind w:right="20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负责人（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ARM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及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UI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代码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</w:tr>
      <w:tr w:rsidR="002134DC">
        <w:trPr>
          <w:trHeight w:val="322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lastRenderedPageBreak/>
              <w:t>该系统为嵌入式的用户端电能质量监控系统，具有电能质量检测、能源功耗计量、电力载波通信、数据自动抄收等功能。电能质量检测可对用户的现场用电做采样处理，显示质量好坏，做指数评估。能源功耗测量可对用电电量、功率、功率因数等重要信息做详尽展示。电力载波通信可将数据使用电力电缆传输，集中汇总。该项目主要包括测量终端（完成电能计量，电能质量参数分析，使用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STM32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作为控制核心）、集中器（完成数据集中，载波通信等）、上位机人机交互（使用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QT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编程完成）等子系统组成</w:t>
            </w:r>
          </w:p>
        </w:tc>
      </w:tr>
      <w:tr w:rsidR="002134DC">
        <w:trPr>
          <w:trHeight w:val="322"/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spacing w:before="21" w:after="21" w:line="230" w:lineRule="atLeast"/>
              <w:ind w:right="20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2011.12 - 2012.0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3</w:t>
            </w:r>
          </w:p>
        </w:tc>
        <w:tc>
          <w:tcPr>
            <w:tcW w:w="4308" w:type="dxa"/>
            <w:gridSpan w:val="3"/>
          </w:tcPr>
          <w:p w:rsidR="002134DC" w:rsidRDefault="00523DB3">
            <w:pPr>
              <w:spacing w:before="21" w:after="21" w:line="230" w:lineRule="atLeast"/>
              <w:ind w:right="20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基于等效采样的数字存储示波器</w:t>
            </w:r>
          </w:p>
        </w:tc>
        <w:tc>
          <w:tcPr>
            <w:tcW w:w="3289" w:type="dxa"/>
            <w:gridSpan w:val="2"/>
          </w:tcPr>
          <w:p w:rsidR="002134DC" w:rsidRDefault="00523DB3">
            <w:pPr>
              <w:spacing w:before="21" w:after="21" w:line="230" w:lineRule="atLeast"/>
              <w:ind w:right="20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负责人（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FPGA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、单片机软件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</w:tr>
      <w:tr w:rsidR="002134DC">
        <w:trPr>
          <w:trHeight w:val="322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该项目使用低成本的低端低速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AD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实现较高频率的采集和显示，主要包括信号程控放大（使用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VGA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）、采样保持、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AD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转换、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FPGA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采样保持（使用顺序等效采样）、单片机（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MSP430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）控制显示（使用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320x240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触摸屏显示控制）部分。实时采样速率≤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1MSa/s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，等效采样速率≥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200MSa/s</w:t>
            </w: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，软件触发、触发电平可调</w:t>
            </w:r>
          </w:p>
        </w:tc>
      </w:tr>
    </w:tbl>
    <w:p w:rsidR="002134DC" w:rsidRDefault="002134DC">
      <w:pPr>
        <w:rPr>
          <w:rFonts w:ascii="Times New Roman" w:hAnsi="Times New Roman" w:cs="Times New Roman"/>
          <w:vanish/>
          <w:sz w:val="2"/>
          <w:szCs w:val="2"/>
        </w:rPr>
      </w:pPr>
    </w:p>
    <w:p w:rsidR="002134DC" w:rsidRDefault="002134DC"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5"/>
      </w:tblGrid>
      <w:tr w:rsidR="002134DC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12" w:space="0" w:color="CCCCC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spacing w:before="21" w:after="21" w:line="330" w:lineRule="atLeast"/>
              <w:rPr>
                <w:rFonts w:ascii="Times New Roman" w:hAnsi="Times New Roman" w:cs="Times New Roman"/>
                <w:color w:val="6AA84F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6AA84F"/>
                <w:sz w:val="22"/>
                <w:szCs w:val="22"/>
              </w:rPr>
              <w:t>获奖情况</w:t>
            </w:r>
          </w:p>
        </w:tc>
      </w:tr>
      <w:tr w:rsidR="002134DC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2134DC">
            <w:pPr>
              <w:spacing w:before="21" w:after="21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134DC" w:rsidRDefault="002134DC"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5187"/>
      </w:tblGrid>
      <w:tr w:rsidR="002134DC">
        <w:trPr>
          <w:jc w:val="center"/>
        </w:trPr>
        <w:tc>
          <w:tcPr>
            <w:tcW w:w="9865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研究生阶段：</w:t>
            </w:r>
          </w:p>
        </w:tc>
      </w:tr>
      <w:tr w:rsidR="002134DC">
        <w:trPr>
          <w:jc w:val="center"/>
        </w:trPr>
        <w:tc>
          <w:tcPr>
            <w:tcW w:w="9865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中国科学院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自动化研究所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三好学生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称号</w:t>
            </w:r>
          </w:p>
        </w:tc>
      </w:tr>
      <w:tr w:rsidR="002134DC">
        <w:trPr>
          <w:jc w:val="center"/>
        </w:trPr>
        <w:tc>
          <w:tcPr>
            <w:tcW w:w="9865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本科阶段：</w:t>
            </w:r>
          </w:p>
        </w:tc>
      </w:tr>
      <w:tr w:rsidR="002134DC">
        <w:trPr>
          <w:jc w:val="center"/>
        </w:trPr>
        <w:tc>
          <w:tcPr>
            <w:tcW w:w="467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2011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年国家奖学金</w:t>
            </w:r>
          </w:p>
          <w:p w:rsidR="002134DC" w:rsidRDefault="00523DB3"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2012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朗坤奖学金</w:t>
            </w:r>
          </w:p>
        </w:tc>
        <w:tc>
          <w:tcPr>
            <w:tcW w:w="5187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2012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年武汉理工大学电工电子设计竞赛一等奖</w:t>
            </w:r>
          </w:p>
          <w:p w:rsidR="002134DC" w:rsidRDefault="00523DB3"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2012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年湖北省电子设计竞赛二等奖</w:t>
            </w:r>
          </w:p>
        </w:tc>
      </w:tr>
      <w:tr w:rsidR="002134DC">
        <w:trPr>
          <w:jc w:val="center"/>
        </w:trPr>
        <w:tc>
          <w:tcPr>
            <w:tcW w:w="467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校优秀共青团员、优秀毕业生</w:t>
            </w:r>
          </w:p>
        </w:tc>
        <w:tc>
          <w:tcPr>
            <w:tcW w:w="5187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校三好学生标兵</w:t>
            </w:r>
          </w:p>
        </w:tc>
      </w:tr>
    </w:tbl>
    <w:p w:rsidR="002134DC" w:rsidRDefault="002134DC"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5"/>
      </w:tblGrid>
      <w:tr w:rsidR="002134DC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12" w:space="0" w:color="CCCCC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523DB3">
            <w:pPr>
              <w:spacing w:before="21" w:after="21" w:line="330" w:lineRule="atLeast"/>
              <w:rPr>
                <w:rFonts w:ascii="Times New Roman" w:hAnsi="Times New Roman" w:cs="Times New Roman"/>
                <w:color w:val="6AA84F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6AA84F"/>
                <w:sz w:val="22"/>
                <w:szCs w:val="22"/>
              </w:rPr>
              <w:t>专业技能</w:t>
            </w:r>
          </w:p>
        </w:tc>
      </w:tr>
      <w:tr w:rsidR="002134DC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2134DC" w:rsidRDefault="002134DC">
            <w:pPr>
              <w:spacing w:before="21" w:after="21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134DC" w:rsidRDefault="002134DC"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W w:w="98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6"/>
      </w:tblGrid>
      <w:tr w:rsidR="002134DC">
        <w:tc>
          <w:tcPr>
            <w:tcW w:w="9866" w:type="dxa"/>
            <w:tcMar>
              <w:top w:w="0" w:type="dxa"/>
              <w:left w:w="85" w:type="dxa"/>
              <w:bottom w:w="0" w:type="dxa"/>
              <w:right w:w="113" w:type="dxa"/>
            </w:tcMar>
          </w:tcPr>
          <w:p w:rsidR="002134DC" w:rsidRDefault="00523DB3">
            <w:pPr>
              <w:numPr>
                <w:ilvl w:val="0"/>
                <w:numId w:val="4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阅读了无人机位姿估计、视觉（惯性）里程计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/SLAM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、深度网络位姿估计、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SLAM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语义分析的文献，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英语四六级优秀，有较强的英语听说读写能力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，熟练使用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LaTeX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。</w:t>
            </w:r>
          </w:p>
          <w:p w:rsidR="002134DC" w:rsidRDefault="00523DB3">
            <w:pPr>
              <w:numPr>
                <w:ilvl w:val="0"/>
                <w:numId w:val="4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撰写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CSDN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系列博客，</w:t>
            </w:r>
            <w:hyperlink r:id="rId8" w:history="1">
              <w:r>
                <w:rPr>
                  <w:rStyle w:val="a6"/>
                  <w:rFonts w:ascii="Times New Roman" w:hAnsi="Times New Roman" w:cs="Times New Roman" w:hint="eastAsia"/>
                  <w:b/>
                  <w:sz w:val="20"/>
                  <w:szCs w:val="20"/>
                </w:rPr>
                <w:t>玩转四旋翼无人机</w:t>
              </w:r>
            </w:hyperlink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，</w:t>
            </w:r>
            <w:hyperlink r:id="rId9" w:history="1">
              <w:r>
                <w:rPr>
                  <w:rStyle w:val="a6"/>
                  <w:rFonts w:ascii="Times New Roman" w:hAnsi="Times New Roman" w:cs="Times New Roman" w:hint="eastAsia"/>
                  <w:b/>
                  <w:sz w:val="20"/>
                  <w:szCs w:val="20"/>
                </w:rPr>
                <w:t>ROS</w:t>
              </w:r>
              <w:r>
                <w:rPr>
                  <w:rStyle w:val="a6"/>
                  <w:rFonts w:ascii="Times New Roman" w:hAnsi="Times New Roman" w:cs="Times New Roman" w:hint="eastAsia"/>
                  <w:b/>
                  <w:sz w:val="20"/>
                  <w:szCs w:val="20"/>
                </w:rPr>
                <w:t>使用教程</w:t>
              </w:r>
            </w:hyperlink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，</w:t>
            </w:r>
            <w:hyperlink r:id="rId10" w:history="1">
              <w:r>
                <w:rPr>
                  <w:rStyle w:val="a6"/>
                  <w:rFonts w:ascii="Times New Roman" w:hAnsi="Times New Roman" w:cs="Times New Roman" w:hint="eastAsia"/>
                  <w:b/>
                  <w:sz w:val="20"/>
                  <w:szCs w:val="20"/>
                </w:rPr>
                <w:t>SLAM</w:t>
              </w:r>
              <w:r>
                <w:rPr>
                  <w:rStyle w:val="a6"/>
                  <w:rFonts w:ascii="Times New Roman" w:hAnsi="Times New Roman" w:cs="Times New Roman" w:hint="eastAsia"/>
                  <w:b/>
                  <w:sz w:val="20"/>
                  <w:szCs w:val="20"/>
                </w:rPr>
                <w:t>学习</w:t>
              </w:r>
            </w:hyperlink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。</w:t>
            </w:r>
            <w:hyperlink r:id="rId11" w:history="1">
              <w:r>
                <w:rPr>
                  <w:rStyle w:val="a6"/>
                  <w:rFonts w:ascii="Times New Roman" w:hAnsi="Times New Roman" w:cs="Times New Roman"/>
                  <w:b/>
                  <w:sz w:val="20"/>
                  <w:szCs w:val="20"/>
                </w:rPr>
                <w:t>Github</w:t>
              </w:r>
            </w:hyperlink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。</w:t>
            </w:r>
            <w:hyperlink r:id="rId12" w:history="1">
              <w:r w:rsidRPr="00523DB3">
                <w:rPr>
                  <w:rStyle w:val="a6"/>
                  <w:rFonts w:ascii="Times New Roman" w:hAnsi="Times New Roman" w:cs="Times New Roman" w:hint="eastAsia"/>
                  <w:b/>
                  <w:sz w:val="20"/>
                  <w:szCs w:val="20"/>
                </w:rPr>
                <w:t>知乎</w:t>
              </w:r>
            </w:hyperlink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2134DC">
        <w:tc>
          <w:tcPr>
            <w:tcW w:w="9866" w:type="dxa"/>
            <w:tcMar>
              <w:top w:w="0" w:type="dxa"/>
              <w:left w:w="85" w:type="dxa"/>
              <w:bottom w:w="0" w:type="dxa"/>
              <w:right w:w="113" w:type="dxa"/>
            </w:tcMar>
          </w:tcPr>
          <w:p w:rsidR="002134DC" w:rsidRDefault="00523DB3">
            <w:pPr>
              <w:numPr>
                <w:ilvl w:val="0"/>
                <w:numId w:val="4"/>
              </w:num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熟练使用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C/C++, 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 Matlab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，熟练使用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QT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MFC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编写人机交互软件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。</w:t>
            </w:r>
          </w:p>
          <w:p w:rsidR="002134DC" w:rsidRDefault="00523DB3">
            <w:pPr>
              <w:numPr>
                <w:ilvl w:val="0"/>
                <w:numId w:val="4"/>
              </w:num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熟练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Linux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下常用指令及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C++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ROS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开发环境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。</w:t>
            </w:r>
          </w:p>
        </w:tc>
      </w:tr>
      <w:tr w:rsidR="002134DC">
        <w:tc>
          <w:tcPr>
            <w:tcW w:w="9866" w:type="dxa"/>
            <w:tcMar>
              <w:top w:w="0" w:type="dxa"/>
              <w:left w:w="85" w:type="dxa"/>
              <w:bottom w:w="0" w:type="dxa"/>
              <w:right w:w="113" w:type="dxa"/>
            </w:tcMar>
          </w:tcPr>
          <w:p w:rsidR="002134DC" w:rsidRDefault="00523DB3">
            <w:pPr>
              <w:numPr>
                <w:ilvl w:val="0"/>
                <w:numId w:val="4"/>
              </w:num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理解常用的机器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深度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学习，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视觉（惯性）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SLAM/VO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算法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SVO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DSO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ORB SLAM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OKVIS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）。</w:t>
            </w:r>
          </w:p>
        </w:tc>
      </w:tr>
      <w:tr w:rsidR="002134DC">
        <w:tc>
          <w:tcPr>
            <w:tcW w:w="9866" w:type="dxa"/>
            <w:tcMar>
              <w:top w:w="0" w:type="dxa"/>
              <w:left w:w="85" w:type="dxa"/>
              <w:bottom w:w="0" w:type="dxa"/>
              <w:right w:w="113" w:type="dxa"/>
            </w:tcMar>
          </w:tcPr>
          <w:p w:rsidR="002134DC" w:rsidRDefault="00523DB3">
            <w:pPr>
              <w:numPr>
                <w:ilvl w:val="0"/>
                <w:numId w:val="4"/>
              </w:num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熟悉常用的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SLAM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工具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，熟练使用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OpenCV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，熟悉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Sophus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Eigen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G2O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Kalibr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。</w:t>
            </w:r>
          </w:p>
        </w:tc>
      </w:tr>
    </w:tbl>
    <w:p w:rsidR="002134DC" w:rsidRDefault="002134DC">
      <w:pPr>
        <w:rPr>
          <w:rFonts w:ascii="Times New Roman" w:hAnsi="Times New Roman" w:cs="Times New Roman"/>
          <w:vanish/>
          <w:sz w:val="2"/>
          <w:szCs w:val="2"/>
        </w:rPr>
      </w:pPr>
    </w:p>
    <w:p w:rsidR="002134DC" w:rsidRDefault="002134DC">
      <w:pPr>
        <w:rPr>
          <w:rFonts w:ascii="Times New Roman" w:hAnsi="Times New Roman" w:cs="Times New Roman"/>
          <w:sz w:val="2"/>
          <w:szCs w:val="2"/>
        </w:rPr>
      </w:pPr>
    </w:p>
    <w:sectPr w:rsidR="002134DC">
      <w:pgSz w:w="11905" w:h="16837"/>
      <w:pgMar w:top="963" w:right="1020" w:bottom="85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74A41"/>
    <w:multiLevelType w:val="multilevel"/>
    <w:tmpl w:val="27174A4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5F3495"/>
    <w:multiLevelType w:val="multilevel"/>
    <w:tmpl w:val="445F349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43961B1"/>
    <w:multiLevelType w:val="multilevel"/>
    <w:tmpl w:val="543961B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5484762"/>
    <w:multiLevelType w:val="multilevel"/>
    <w:tmpl w:val="6548476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598"/>
    <w:rsid w:val="00033C35"/>
    <w:rsid w:val="000610A6"/>
    <w:rsid w:val="000709AA"/>
    <w:rsid w:val="00071309"/>
    <w:rsid w:val="000875B2"/>
    <w:rsid w:val="00090899"/>
    <w:rsid w:val="000E3598"/>
    <w:rsid w:val="00125F76"/>
    <w:rsid w:val="00167D26"/>
    <w:rsid w:val="00171EE6"/>
    <w:rsid w:val="00186BE6"/>
    <w:rsid w:val="00193657"/>
    <w:rsid w:val="001A000D"/>
    <w:rsid w:val="001A02D9"/>
    <w:rsid w:val="001A360C"/>
    <w:rsid w:val="001F57CA"/>
    <w:rsid w:val="002134DC"/>
    <w:rsid w:val="00217F29"/>
    <w:rsid w:val="00235E9C"/>
    <w:rsid w:val="00247349"/>
    <w:rsid w:val="00251A0F"/>
    <w:rsid w:val="00257438"/>
    <w:rsid w:val="00293995"/>
    <w:rsid w:val="002A167D"/>
    <w:rsid w:val="002B2A6F"/>
    <w:rsid w:val="002D0E94"/>
    <w:rsid w:val="0034577A"/>
    <w:rsid w:val="00361C10"/>
    <w:rsid w:val="00374F49"/>
    <w:rsid w:val="00376A6E"/>
    <w:rsid w:val="00393FAE"/>
    <w:rsid w:val="003A5C48"/>
    <w:rsid w:val="003E773F"/>
    <w:rsid w:val="004107EC"/>
    <w:rsid w:val="004323AB"/>
    <w:rsid w:val="004440FC"/>
    <w:rsid w:val="00471A6C"/>
    <w:rsid w:val="00481840"/>
    <w:rsid w:val="004930C3"/>
    <w:rsid w:val="00523DB3"/>
    <w:rsid w:val="0056092E"/>
    <w:rsid w:val="00593764"/>
    <w:rsid w:val="005950A4"/>
    <w:rsid w:val="005A2C2C"/>
    <w:rsid w:val="005E36E6"/>
    <w:rsid w:val="005E7C22"/>
    <w:rsid w:val="0060754D"/>
    <w:rsid w:val="00633C48"/>
    <w:rsid w:val="00642036"/>
    <w:rsid w:val="0066798E"/>
    <w:rsid w:val="0068751C"/>
    <w:rsid w:val="006D11CD"/>
    <w:rsid w:val="007361C2"/>
    <w:rsid w:val="007575F8"/>
    <w:rsid w:val="007C7CBD"/>
    <w:rsid w:val="00835840"/>
    <w:rsid w:val="008364A2"/>
    <w:rsid w:val="00861D45"/>
    <w:rsid w:val="008A7C8E"/>
    <w:rsid w:val="008F23C4"/>
    <w:rsid w:val="009A10B0"/>
    <w:rsid w:val="00A02CF5"/>
    <w:rsid w:val="00A16CE0"/>
    <w:rsid w:val="00A60688"/>
    <w:rsid w:val="00A745D3"/>
    <w:rsid w:val="00A80BC2"/>
    <w:rsid w:val="00A97990"/>
    <w:rsid w:val="00AC40B8"/>
    <w:rsid w:val="00AC5635"/>
    <w:rsid w:val="00AF4B2B"/>
    <w:rsid w:val="00B10D0D"/>
    <w:rsid w:val="00B118C6"/>
    <w:rsid w:val="00B15C9F"/>
    <w:rsid w:val="00B20576"/>
    <w:rsid w:val="00B66F96"/>
    <w:rsid w:val="00B71CBC"/>
    <w:rsid w:val="00BA19F8"/>
    <w:rsid w:val="00BC1B2C"/>
    <w:rsid w:val="00BC252C"/>
    <w:rsid w:val="00BD05EC"/>
    <w:rsid w:val="00BD118F"/>
    <w:rsid w:val="00BE2746"/>
    <w:rsid w:val="00BE2C48"/>
    <w:rsid w:val="00BE3B61"/>
    <w:rsid w:val="00C34542"/>
    <w:rsid w:val="00C43342"/>
    <w:rsid w:val="00C50DBE"/>
    <w:rsid w:val="00CA2263"/>
    <w:rsid w:val="00CE301A"/>
    <w:rsid w:val="00D15CE9"/>
    <w:rsid w:val="00D60C51"/>
    <w:rsid w:val="00D66A96"/>
    <w:rsid w:val="00DA1F6C"/>
    <w:rsid w:val="00DA6A73"/>
    <w:rsid w:val="00DB125A"/>
    <w:rsid w:val="00DC117F"/>
    <w:rsid w:val="00DD3829"/>
    <w:rsid w:val="00DE13C8"/>
    <w:rsid w:val="00E43266"/>
    <w:rsid w:val="00E559FB"/>
    <w:rsid w:val="00E6470F"/>
    <w:rsid w:val="00EE0C12"/>
    <w:rsid w:val="00EF5B98"/>
    <w:rsid w:val="00F37C18"/>
    <w:rsid w:val="00F8037F"/>
    <w:rsid w:val="00F85C24"/>
    <w:rsid w:val="00FC36DF"/>
    <w:rsid w:val="00FC501C"/>
    <w:rsid w:val="00FD6FF2"/>
    <w:rsid w:val="1B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Char1">
    <w:name w:val="页眉 Char"/>
    <w:basedOn w:val="a0"/>
    <w:link w:val="a5"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Arial" w:hAnsi="Arial" w:cs="Arial"/>
      <w:color w:val="000000"/>
      <w:kern w:val="0"/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rFonts w:ascii="Arial" w:hAnsi="Arial" w:cs="Arial"/>
      <w:color w:val="000000"/>
      <w:kern w:val="0"/>
      <w:sz w:val="18"/>
      <w:szCs w:val="18"/>
    </w:rPr>
  </w:style>
  <w:style w:type="paragraph" w:customStyle="1" w:styleId="11">
    <w:name w:val="无间隔1"/>
    <w:basedOn w:val="a"/>
    <w:uiPriority w:val="1"/>
    <w:qFormat/>
    <w:pPr>
      <w:widowControl/>
      <w:autoSpaceDE/>
      <w:autoSpaceDN/>
      <w:adjustRightInd/>
    </w:pPr>
    <w:rPr>
      <w:rFonts w:ascii="Calibri" w:eastAsia="宋体" w:hAnsi="Calibri" w:cs="Times New Roman"/>
      <w:color w:val="auto"/>
      <w:szCs w:val="32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Char1">
    <w:name w:val="页眉 Char"/>
    <w:basedOn w:val="a0"/>
    <w:link w:val="a5"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Arial" w:hAnsi="Arial" w:cs="Arial"/>
      <w:color w:val="000000"/>
      <w:kern w:val="0"/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rFonts w:ascii="Arial" w:hAnsi="Arial" w:cs="Arial"/>
      <w:color w:val="000000"/>
      <w:kern w:val="0"/>
      <w:sz w:val="18"/>
      <w:szCs w:val="18"/>
    </w:rPr>
  </w:style>
  <w:style w:type="paragraph" w:customStyle="1" w:styleId="11">
    <w:name w:val="无间隔1"/>
    <w:basedOn w:val="a"/>
    <w:uiPriority w:val="1"/>
    <w:qFormat/>
    <w:pPr>
      <w:widowControl/>
      <w:autoSpaceDE/>
      <w:autoSpaceDN/>
      <w:adjustRightInd/>
    </w:pPr>
    <w:rPr>
      <w:rFonts w:ascii="Calibri" w:eastAsia="宋体" w:hAnsi="Calibri" w:cs="Times New Roman"/>
      <w:color w:val="auto"/>
      <w:szCs w:val="3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endox/article/category/602638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www.zhihu.com/people/ding-wen-dong-62/answ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x007dwd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blog.csdn.net/wendox/article/category/655559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log.csdn.net/wendox/article/category/639008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Chauncey Yim</dc:creator>
  <cp:keywords>cv.qiaobutang.com</cp:keywords>
  <cp:lastModifiedBy>bobin</cp:lastModifiedBy>
  <cp:revision>26</cp:revision>
  <cp:lastPrinted>2015-08-15T16:14:00Z</cp:lastPrinted>
  <dcterms:created xsi:type="dcterms:W3CDTF">2017-02-13T11:04:00Z</dcterms:created>
  <dcterms:modified xsi:type="dcterms:W3CDTF">2017-02-28T00:42:00Z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