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4"/>
        <w:gridCol w:w="4054"/>
        <w:gridCol w:w="1757"/>
      </w:tblGrid>
      <w:tr>
        <w:trPr>
          <w:jc w:val="center"/>
        </w:trPr>
        <w:tc>
          <w:tcPr>
            <w:tcW w:w="8108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42" w:line="660" w:lineRule="atLeast"/>
              <w:rPr>
                <w:rFonts w:ascii="Times New Roman" w:hAnsi="Times New Roman" w:eastAsia="黑体" w:cs="Times New Roman"/>
                <w:sz w:val="44"/>
                <w:szCs w:val="44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 w:val="44"/>
                <w:szCs w:val="44"/>
              </w:rPr>
              <w:t>丁文东</w:t>
            </w:r>
          </w:p>
        </w:tc>
        <w:tc>
          <w:tcPr>
            <w:tcW w:w="1757" w:type="dxa"/>
            <w:vMerge w:val="restart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554990" cy="790575"/>
                  <wp:effectExtent l="0" t="0" r="0" b="9525"/>
                  <wp:docPr id="2" name="图片 2" descr="N:\photo\My Pictures\DSC_0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N:\photo\My Pictures\DSC_08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59" cy="79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405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电子邮箱：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dingwendong2013@ia.ac.cn</w:t>
            </w:r>
          </w:p>
        </w:tc>
        <w:tc>
          <w:tcPr>
            <w:tcW w:w="4054" w:type="dxa"/>
          </w:tcPr>
          <w:p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联系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电话：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(+86)153-0130-8336</w:t>
            </w:r>
          </w:p>
        </w:tc>
        <w:tc>
          <w:tcPr>
            <w:tcW w:w="1757" w:type="dxa"/>
            <w:vMerge w:val="continue"/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6AA84F" w:sz="24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42" w:after="42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教育背景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2980"/>
        <w:gridCol w:w="2744"/>
        <w:gridCol w:w="1589"/>
      </w:tblGrid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2013.09 – 至今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中国科学院自动化研究所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控制理论与控制工程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在读博士</w:t>
            </w:r>
          </w:p>
        </w:tc>
      </w:tr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2009.09 – 2013.06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武汉理工大学（211）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电子科学与技术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工学学士</w:t>
            </w:r>
          </w:p>
        </w:tc>
      </w:tr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专业排名：1/97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GPA:3.7/4.0</w:t>
            </w:r>
          </w:p>
        </w:tc>
        <w:tc>
          <w:tcPr>
            <w:tcW w:w="4333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推荐保送中科院自动化研究所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科研项目经历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3544"/>
        <w:gridCol w:w="20"/>
        <w:gridCol w:w="744"/>
        <w:gridCol w:w="1221"/>
        <w:gridCol w:w="2068"/>
      </w:tblGrid>
      <w:tr>
        <w:trPr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1"/>
                <w:szCs w:val="20"/>
              </w:rPr>
              <w:t>研究生阶段</w:t>
            </w:r>
          </w:p>
        </w:tc>
      </w:tr>
      <w:tr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.09 -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至今</w:t>
            </w:r>
          </w:p>
        </w:tc>
        <w:tc>
          <w:tcPr>
            <w:tcW w:w="3564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室内移动机器人视觉惯性导航系统</w:t>
            </w:r>
          </w:p>
        </w:tc>
        <w:tc>
          <w:tcPr>
            <w:tcW w:w="403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程序员（软件部分）</w:t>
            </w:r>
          </w:p>
        </w:tc>
      </w:tr>
      <w:tr>
        <w:trPr>
          <w:trHeight w:val="221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作为主要成员搭建了室内移动机器人的相机、IMU系统，完成系统标定。优化、修改DSO系统为VIO系统，并移植到TK1（NVIDIA 嵌入式GPU）系统。使用深度网络实现图像的语义分析，构建语义地图辅助视觉定位。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在室内安装二维码（AprilTag），搭建基于二维码的视觉室内定位基准系统。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，徐德，刘希龙，张大朋，陈天，移动机器人视觉定位综述, 自动化学报。（EI index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在审）</w:t>
            </w:r>
          </w:p>
          <w:p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544" w:type="dxa"/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无人机相对定位设计验证平台</w:t>
            </w:r>
          </w:p>
        </w:tc>
        <w:tc>
          <w:tcPr>
            <w:tcW w:w="4053" w:type="dxa"/>
            <w:gridSpan w:val="4"/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软件部分开发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作为主要成员搭建四旋翼无人机平台硬件，编写了机载云台的驱动和位姿估计代码，地面站状态显示软件。C++/ROS开发，包含定位节点、跟踪节点、云台控制节点、地面站节点。实现变焦系统下对合作目标的跟踪，无人机位姿估计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通过解决离焦条件下对图像控制点的精确提取，实现对离焦图像鲁棒的相机标定方法。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D. Xu, X. Liu, D. Zhang, “A Robust Detection Method of Control Points for Calibration and Measurement with Defocused Images”, IEEE Transactions on Instrumentation and Measurement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SCI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EI index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, Accepted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529" w:type="dxa"/>
            <w:gridSpan w:val="4"/>
          </w:tcPr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反射镜表面颗粒物在线监测</w:t>
            </w:r>
          </w:p>
        </w:tc>
        <w:tc>
          <w:tcPr>
            <w:tcW w:w="2068" w:type="dxa"/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软件开发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作为主要成员搭建反射镜暗场成像系统，编写了系统的图像采集、镜头控制、颗粒提取。C++/MFC开发。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, D. Xu, Z. Zhang and D. Zhang, “Particle detection on low contrast image of large aperture optics,” 2016 Chinese Control and Decision Conference , Yinchuan, 2016, pp. 5209-5214.（EI index）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Z. Zhang, D. Zhang, D. Xu, H. Lv, X. Miao, G. Zhou, H. Liu, “An Effective On-line Surface Particles Inspection Instrument for Large Aperture Optical Element” International Journal of Automation and Computing. (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 xml:space="preserve">EI index,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Accepted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，张正涛，张大鹏，陶显，史亚莉，吕海兵，苗心向，周国瑞，一种高分辨率显微视觉成像装置与控制方法，申请公布号: CN104410775A ，申请公布日:2015.03.11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张大朋;张正涛;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;徐德，光学元件表面颗粒物在线监测装置及其在线监测的方法，申请公布号: CN105928949A，申请公布日:2015.09.07</w:t>
            </w:r>
          </w:p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1"/>
                <w:szCs w:val="20"/>
              </w:rPr>
              <w:t>本科阶段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2013.03 - 2013.06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机液混合机械臂控制系统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毕业设计（驱动、软件）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基于ARM的机液混合机械臂控制系统的设计，设计首先针对液压伺服系统设计控制卡，然后研究了机械臂正逆运动学模型及路径规划并进行MATLAB仿真，针对液压系统特性提出模型参考自适应PID，用matlab进行了算法验证，并对系统进行了典型信号的测试。其中液压伺服驱动卡使用stm32作为控制核心，移植uc/os系统完成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实验验证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。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- 2012.08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湖北省大学生电子设计竞赛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队长（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单片机代码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首先使用DDS芯片完成信号源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产生幅值0-10V带宽0-100KHz的正弦信号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。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信号通过题目要求的模拟模块（频率为4.5KHz的低通滤波器），然后信号经过频率补偿电路，实现电压总增益为1，带宽扩展到100kHz，带内波动小于±10%、输出噪声电压均方根值小于10mV的要求，完成了基本部分和发挥部分所有要求。该频率补偿电路拥有很好的频率补偿功能，自制简易信号源可以实现输出信号频率幅度的连续可调。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智能电网用户端电能监测系统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ARM及UI代码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该系统为嵌入式的用户端电能质量监控系统，具有电能质量检测、能源功耗计量、电力载波通信、数据自动抄收等功能。电能质量检测可对用户的现场用电做采样处理，显示质量好坏，做指数评估。能源功耗测量可对用电电量、功率、功率因数等重要信息做详尽展示。电力载波通信可将数据使用电力电缆传输，集中汇总。该项目主要包括测量终端（完成电能计量，电能质量参数分析，使用STM32作为控制核心）、集中器（完成数据集中，载波通信等）、上位机人机交互（使用QT编程完成）等子系统组成</w:t>
            </w: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梁小宇,张纯,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,徐帆. 基于电力载波通信的电能质量监测系统设计[J]. 武汉理工大学学报(信息与管理工程版),2013,(05):659-663.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2011.12 - 2012.0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基于等效采样的数字存储示波器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FPGA、单片机软件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该项目使用低成本的低端低速AD实现较高频率的采集和显示，主要包括信号程控放大（使用VGA）、采样保持、AD转换、FPGA采样保持（使用顺序等效采样）、单片机（MSP430）控制显示（使用320x240触摸屏显示控制）部分。实时采样速率≤1MSa/s，等效采样速率≥200MSa/s，软件触发、触发电平可调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获奖情况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8"/>
        <w:gridCol w:w="5187"/>
      </w:tblGrid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研究生阶段：</w:t>
            </w:r>
          </w:p>
        </w:tc>
      </w:tr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中国科学院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自动化研究所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“三好学生”称号</w:t>
            </w:r>
          </w:p>
        </w:tc>
      </w:tr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本科阶段：</w:t>
            </w:r>
          </w:p>
        </w:tc>
      </w:tr>
      <w:tr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2010，2011年国家奖学金</w:t>
            </w:r>
          </w:p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 朗坤奖学金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2012年武汉理工大学电工电子设计竞赛一等奖</w:t>
            </w:r>
          </w:p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2012年湖北省电子设计竞赛二等奖</w:t>
            </w:r>
          </w:p>
        </w:tc>
      </w:tr>
      <w:tr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校优秀共青团员、优秀毕业生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校三好学生标兵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专业技能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6"/>
      </w:tblGrid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阅读了无人机位姿估计、视觉（惯性）里程计/SLAM、深度网络位姿估计、SLAM语义分析的文献，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英语四六级优秀，有较强的英语听说读写能力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，熟练使用LaTeX。</w:t>
            </w:r>
          </w:p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撰写CSDN系列博客，</w:t>
            </w:r>
            <w:r>
              <w:fldChar w:fldCharType="begin"/>
            </w:r>
            <w:r>
              <w:instrText xml:space="preserve"> HYPERLINK "http://blog.csdn.net/wendox/article/category/6026381"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玩转四旋翼无人机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</w:t>
            </w:r>
            <w:r>
              <w:fldChar w:fldCharType="begin"/>
            </w:r>
            <w:r>
              <w:instrText xml:space="preserve"> HYPERLINK "http://blog.csdn.net/wendox/article/category/6390089"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ROS使用教程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</w:t>
            </w:r>
            <w:r>
              <w:fldChar w:fldCharType="begin"/>
            </w:r>
            <w:r>
              <w:instrText xml:space="preserve"> HYPERLINK "http://blog.csdn.net/wendox/article/category/6555599"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SLAM学习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  <w:r>
              <w:fldChar w:fldCharType="begin"/>
            </w:r>
            <w:r>
              <w:instrText xml:space="preserve"> HYPERLINK "https://github.com/x007dwd"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b/>
                <w:sz w:val="20"/>
                <w:szCs w:val="20"/>
              </w:rPr>
              <w:t>Github</w:t>
            </w:r>
            <w:r>
              <w:rPr>
                <w:rStyle w:val="9"/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。</w:t>
            </w:r>
            <w:r>
              <w:fldChar w:fldCharType="begin"/>
            </w:r>
            <w:r>
              <w:instrText xml:space="preserve"> HYPERLINK "https://www.zhihu.com/people/ding-wen-dong-62/answers"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知乎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熟练使用C/C++, 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Matlab，熟练使用QT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，MFC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编写人机交互软件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熟练Linux下常用指令及C++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，Python，ROS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开发环境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理解常用的机器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/深度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学习，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视觉（惯性）SLAM/VO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算法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（SVO，DSO，ORB SLAM，OKVIS）。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熟悉常用的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SLAM工具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，熟练使用OpenCV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，熟悉Sophus、Eigen、G2O、Kalibr。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sz w:val="2"/>
          <w:szCs w:val="2"/>
        </w:rPr>
      </w:pPr>
    </w:p>
    <w:sectPr>
      <w:pgSz w:w="11905" w:h="16837"/>
      <w:pgMar w:top="963" w:right="1020" w:bottom="85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46705">
    <w:nsid w:val="543961B1"/>
    <w:multiLevelType w:val="multilevel"/>
    <w:tmpl w:val="543961B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55837761">
    <w:nsid w:val="27174A41"/>
    <w:multiLevelType w:val="multilevel"/>
    <w:tmpl w:val="27174A4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47090069">
    <w:nsid w:val="445F3495"/>
    <w:multiLevelType w:val="multilevel"/>
    <w:tmpl w:val="445F3495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99235682">
    <w:nsid w:val="65484762"/>
    <w:multiLevelType w:val="multilevel"/>
    <w:tmpl w:val="65484762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13046705"/>
  </w:num>
  <w:num w:numId="2">
    <w:abstractNumId w:val="1699235682"/>
  </w:num>
  <w:num w:numId="3">
    <w:abstractNumId w:val="1147090069"/>
  </w:num>
  <w:num w:numId="4">
    <w:abstractNumId w:val="655837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98"/>
    <w:rsid w:val="00033C35"/>
    <w:rsid w:val="000610A6"/>
    <w:rsid w:val="000709AA"/>
    <w:rsid w:val="00071309"/>
    <w:rsid w:val="000875B2"/>
    <w:rsid w:val="00090899"/>
    <w:rsid w:val="000E3598"/>
    <w:rsid w:val="00125F76"/>
    <w:rsid w:val="00167D26"/>
    <w:rsid w:val="00171EE6"/>
    <w:rsid w:val="00186BE6"/>
    <w:rsid w:val="00193657"/>
    <w:rsid w:val="001A000D"/>
    <w:rsid w:val="001A02D9"/>
    <w:rsid w:val="001A360C"/>
    <w:rsid w:val="001F57CA"/>
    <w:rsid w:val="002134DC"/>
    <w:rsid w:val="00217F29"/>
    <w:rsid w:val="00235E9C"/>
    <w:rsid w:val="00247349"/>
    <w:rsid w:val="00251A0F"/>
    <w:rsid w:val="00257438"/>
    <w:rsid w:val="00293995"/>
    <w:rsid w:val="002A167D"/>
    <w:rsid w:val="002B2A6F"/>
    <w:rsid w:val="002D0E94"/>
    <w:rsid w:val="0034577A"/>
    <w:rsid w:val="00361C10"/>
    <w:rsid w:val="00374F49"/>
    <w:rsid w:val="00376A6E"/>
    <w:rsid w:val="00393FAE"/>
    <w:rsid w:val="003A5C48"/>
    <w:rsid w:val="003E773F"/>
    <w:rsid w:val="004107EC"/>
    <w:rsid w:val="004323AB"/>
    <w:rsid w:val="004440FC"/>
    <w:rsid w:val="00471A6C"/>
    <w:rsid w:val="00481840"/>
    <w:rsid w:val="004930C3"/>
    <w:rsid w:val="00523DB3"/>
    <w:rsid w:val="0056092E"/>
    <w:rsid w:val="00593764"/>
    <w:rsid w:val="005950A4"/>
    <w:rsid w:val="005A2C2C"/>
    <w:rsid w:val="005E36E6"/>
    <w:rsid w:val="005E7C22"/>
    <w:rsid w:val="0060754D"/>
    <w:rsid w:val="00633C48"/>
    <w:rsid w:val="00642036"/>
    <w:rsid w:val="0066798E"/>
    <w:rsid w:val="0068751C"/>
    <w:rsid w:val="006D11CD"/>
    <w:rsid w:val="007361C2"/>
    <w:rsid w:val="007575F8"/>
    <w:rsid w:val="007C7CBD"/>
    <w:rsid w:val="00835840"/>
    <w:rsid w:val="008364A2"/>
    <w:rsid w:val="00861D45"/>
    <w:rsid w:val="008A7C8E"/>
    <w:rsid w:val="008F23C4"/>
    <w:rsid w:val="009A10B0"/>
    <w:rsid w:val="00A02CF5"/>
    <w:rsid w:val="00A16CE0"/>
    <w:rsid w:val="00A60688"/>
    <w:rsid w:val="00A745D3"/>
    <w:rsid w:val="00A80BC2"/>
    <w:rsid w:val="00A97990"/>
    <w:rsid w:val="00AC40B8"/>
    <w:rsid w:val="00AC5635"/>
    <w:rsid w:val="00AF4B2B"/>
    <w:rsid w:val="00B10D0D"/>
    <w:rsid w:val="00B118C6"/>
    <w:rsid w:val="00B15C9F"/>
    <w:rsid w:val="00B20576"/>
    <w:rsid w:val="00B66F96"/>
    <w:rsid w:val="00B71CBC"/>
    <w:rsid w:val="00BA19F8"/>
    <w:rsid w:val="00BC1B2C"/>
    <w:rsid w:val="00BC252C"/>
    <w:rsid w:val="00BD05EC"/>
    <w:rsid w:val="00BD118F"/>
    <w:rsid w:val="00BE2746"/>
    <w:rsid w:val="00BE2C48"/>
    <w:rsid w:val="00BE3B61"/>
    <w:rsid w:val="00C34542"/>
    <w:rsid w:val="00C43342"/>
    <w:rsid w:val="00C50DBE"/>
    <w:rsid w:val="00CA2263"/>
    <w:rsid w:val="00CE301A"/>
    <w:rsid w:val="00D15CE9"/>
    <w:rsid w:val="00D60C51"/>
    <w:rsid w:val="00D66A96"/>
    <w:rsid w:val="00DA1F6C"/>
    <w:rsid w:val="00DA6A73"/>
    <w:rsid w:val="00DB125A"/>
    <w:rsid w:val="00DC117F"/>
    <w:rsid w:val="00DD3829"/>
    <w:rsid w:val="00DE13C8"/>
    <w:rsid w:val="00E43266"/>
    <w:rsid w:val="00E559FB"/>
    <w:rsid w:val="00E6470F"/>
    <w:rsid w:val="00EE0C12"/>
    <w:rsid w:val="00EF5B98"/>
    <w:rsid w:val="00F37C18"/>
    <w:rsid w:val="00F8037F"/>
    <w:rsid w:val="00F85C24"/>
    <w:rsid w:val="00FC36DF"/>
    <w:rsid w:val="00FC501C"/>
    <w:rsid w:val="00FD6FF2"/>
    <w:rsid w:val="1BFE1D51"/>
    <w:rsid w:val="4FBBCB43"/>
    <w:rsid w:val="8F2EEAEC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2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3 Char"/>
    <w:basedOn w:val="8"/>
    <w:link w:val="4"/>
    <w:semiHidden/>
    <w:uiPriority w:val="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2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</w:rPr>
  </w:style>
  <w:style w:type="character" w:customStyle="1" w:styleId="13">
    <w:name w:val="标题 1 Char"/>
    <w:basedOn w:val="8"/>
    <w:link w:val="2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14">
    <w:name w:val="页眉 Char"/>
    <w:basedOn w:val="8"/>
    <w:link w:val="7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5">
    <w:name w:val="页脚 Char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8"/>
    <w:link w:val="5"/>
    <w:semiHidden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8">
    <w:name w:val="无间隔1"/>
    <w:basedOn w:val="1"/>
    <w:qFormat/>
    <w:uiPriority w:val="1"/>
    <w:pPr>
      <w:widowControl/>
      <w:autoSpaceDE/>
      <w:autoSpaceDN/>
      <w:adjustRightInd/>
    </w:pPr>
    <w:rPr>
      <w:rFonts w:ascii="Calibri" w:hAnsi="Calibri" w:eastAsia="宋体" w:cs="Times New Roman"/>
      <w:color w:val="auto"/>
      <w:szCs w:val="3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485</Words>
  <Characters>2771</Characters>
  <Lines>23</Lines>
  <Paragraphs>6</Paragraphs>
  <TotalTime>0</TotalTime>
  <ScaleCrop>false</ScaleCrop>
  <LinksUpToDate>false</LinksUpToDate>
  <CharactersWithSpaces>3250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2017-02-14T03:04:00Z</dcterms:created>
  <dc:creator>Chauncey Yim</dc:creator>
  <cp:keywords>cv.qiaobutang.com</cp:keywords>
  <cp:lastModifiedBy>bobin</cp:lastModifiedBy>
  <cp:lastPrinted>2015-08-16T08:14:00Z</cp:lastPrinted>
  <dcterms:modified xsi:type="dcterms:W3CDTF">2017-03-27T17:03:32Z</dcterms:modified>
  <dc:subject>简历</dc:subject>
  <dc:title>简历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