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예외 승인 절차 표준 (Exception Approval Procedure Standard)</w:t>
      </w:r>
    </w:p>
    <w:p>
      <w:r>
        <w:t>버전: v1.0</w:t>
      </w:r>
    </w:p>
    <w:p>
      <w:r>
        <w:t>본 문서는 AI 시스템 운영 표준을 기반으로,</w:t>
      </w:r>
    </w:p>
    <w:p>
      <w:r>
        <w:t>표준 정책, 통제 기준, 자율성 레벨, 보안 요구사항 등에서 예외가 필요한 경우의 승인 절차를 정의한다.</w:t>
      </w:r>
    </w:p>
    <w:p/>
    <w:p>
      <w:pPr>
        <w:pStyle w:val="Heading2"/>
      </w:pPr>
      <w:r>
        <w:t>1. 목적</w:t>
      </w:r>
    </w:p>
    <w:p>
      <w:r>
        <w:t>• 표준을 벗어나는 운영에 대한 통제 유지</w:t>
      </w:r>
    </w:p>
    <w:p>
      <w:r>
        <w:t>• 리스크 기반 예외 승인 체계 수립</w:t>
      </w:r>
    </w:p>
    <w:p>
      <w:r>
        <w:t>• 감사 및 책임 추적 가능성 확보</w:t>
      </w:r>
    </w:p>
    <w:p/>
    <w:p>
      <w:pPr>
        <w:pStyle w:val="Heading2"/>
      </w:pPr>
      <w:r>
        <w:t>2. 예외 정의</w:t>
      </w:r>
    </w:p>
    <w:p>
      <w:r>
        <w:t>예외란 다음을 의미한다:</w:t>
      </w:r>
    </w:p>
    <w:p>
      <w:r>
        <w:t>• 정의된 Authority Level을 초과하는 자동 실행</w:t>
      </w:r>
    </w:p>
    <w:p>
      <w:r>
        <w:t>• Scope를 벗어난 기능 추가</w:t>
      </w:r>
    </w:p>
    <w:p>
      <w:r>
        <w:t>• Risk 통제 기준 일부 미충족 상태 배포</w:t>
      </w:r>
    </w:p>
    <w:p>
      <w:r>
        <w:t>• 보안 또는 데이터 보호 기준 일부 완화</w:t>
      </w:r>
    </w:p>
    <w:p/>
    <w:p>
      <w:pPr>
        <w:pStyle w:val="Heading2"/>
      </w:pPr>
      <w:r>
        <w:t>3. 예외 신청 대상 사례</w:t>
      </w:r>
    </w:p>
    <w:p>
      <w:r>
        <w:t>• 긴급 운영 이슈 대응</w:t>
      </w:r>
    </w:p>
    <w:p>
      <w:r>
        <w:t>• 규제 변경에 따른 일시적 통제 완화</w:t>
      </w:r>
    </w:p>
    <w:p>
      <w:r>
        <w:t>• 기술적 한계로 인한 일부 기준 미충족</w:t>
      </w:r>
    </w:p>
    <w:p>
      <w:r>
        <w:t>• 사업 전략상 필요에 의한 임시 조정</w:t>
      </w:r>
    </w:p>
    <w:p/>
    <w:p>
      <w:pPr>
        <w:pStyle w:val="Heading2"/>
      </w:pPr>
      <w:r>
        <w:t>4. 예외 승인 절차</w:t>
      </w:r>
    </w:p>
    <w:p>
      <w:r>
        <w:t>1) 예외 요청서 작성 (사유 및 영향 분석 포함)</w:t>
      </w:r>
    </w:p>
    <w:p>
      <w:r>
        <w:t>2) Risk 재평가 수행</w:t>
      </w:r>
    </w:p>
    <w:p>
      <w:r>
        <w:t>3) 완화 조치(Mitigation Plan) 제출</w:t>
      </w:r>
    </w:p>
    <w:p>
      <w:r>
        <w:t>4) Governance Board 검토</w:t>
      </w:r>
    </w:p>
    <w:p>
      <w:r>
        <w:t>5) 승인 또는 반려 결정</w:t>
      </w:r>
    </w:p>
    <w:p>
      <w:r>
        <w:t>6) 승인 시 유효 기간 명시</w:t>
      </w:r>
    </w:p>
    <w:p/>
    <w:p>
      <w:pPr>
        <w:pStyle w:val="Heading2"/>
      </w:pPr>
      <w:r>
        <w:t>5. 승인 권한 기준</w:t>
      </w:r>
    </w:p>
    <w:p>
      <w:r>
        <w:t>• Low Risk 예외: Business Owner 승인</w:t>
      </w:r>
    </w:p>
    <w:p>
      <w:r>
        <w:t>• Medium/High Risk 예외: Governance Board 승인</w:t>
      </w:r>
    </w:p>
    <w:p>
      <w:r>
        <w:t>• Critical Risk 예외: Executive Sponsor + Governance Board 공동 승인</w:t>
      </w:r>
    </w:p>
    <w:p/>
    <w:p>
      <w:pPr>
        <w:pStyle w:val="Heading2"/>
      </w:pPr>
      <w:r>
        <w:t>6. 예외 유효 기간 관리</w:t>
      </w:r>
    </w:p>
    <w:p>
      <w:r>
        <w:t>• 모든 예외는 만료 기간을 명시해야 한다.</w:t>
      </w:r>
    </w:p>
    <w:p>
      <w:r>
        <w:t>• 만료 시 자동 재검토</w:t>
      </w:r>
    </w:p>
    <w:p>
      <w:r>
        <w:t>• 연장 시 재승인 필수</w:t>
      </w:r>
    </w:p>
    <w:p/>
    <w:p>
      <w:pPr>
        <w:pStyle w:val="Heading2"/>
      </w:pPr>
      <w:r>
        <w:t>7. 문서화 및 기록 관리</w:t>
      </w:r>
    </w:p>
    <w:p>
      <w:r>
        <w:t>• 예외 요청서 보관</w:t>
      </w:r>
    </w:p>
    <w:p>
      <w:r>
        <w:t>• 승인 기록 보관</w:t>
      </w:r>
    </w:p>
    <w:p>
      <w:r>
        <w:t>• 영향 범위 및 완화 조치 기록</w:t>
      </w:r>
    </w:p>
    <w:p>
      <w:r>
        <w:t>• 예외 종료 후 결과 평가 기록</w:t>
      </w:r>
    </w:p>
    <w:p/>
    <w:p>
      <w:pPr>
        <w:pStyle w:val="Heading2"/>
      </w:pPr>
      <w:r>
        <w:t>8. 금지 사항</w:t>
      </w:r>
    </w:p>
    <w:p>
      <w:r>
        <w:t>• 승인 없는 예외 적용 금지</w:t>
      </w:r>
    </w:p>
    <w:p>
      <w:r>
        <w:t>• 만료 기간 없는 예외 금지</w:t>
      </w:r>
    </w:p>
    <w:p>
      <w:r>
        <w:t>• Risk 평가 없이 예외 승인 금지</w:t>
      </w:r>
    </w:p>
    <w:p>
      <w:r>
        <w:t>• 반복적 동일 예외 승인 금지</w:t>
      </w:r>
    </w:p>
    <w:p/>
    <w:p>
      <w:pPr>
        <w:pStyle w:val="Heading2"/>
      </w:pPr>
      <w:r>
        <w:t>9. 감사 및 통제 요구사항</w:t>
      </w:r>
    </w:p>
    <w:p>
      <w:r>
        <w:t>• 연 1회 예외 현황 보고</w:t>
      </w:r>
    </w:p>
    <w:p>
      <w:r>
        <w:t>• 예외 건수 및 유형 분석</w:t>
      </w:r>
    </w:p>
    <w:p>
      <w:r>
        <w:t>• 장기 예외 건에 대한 특별 점검</w:t>
      </w:r>
    </w:p>
    <w:p/>
    <w:p>
      <w:pPr>
        <w:pStyle w:val="Heading2"/>
      </w:pPr>
      <w:r>
        <w:t>10. Evolution 연계</w:t>
      </w:r>
    </w:p>
    <w:p>
      <w:r>
        <w:t>• 반복 발생 예외는 Global Context 또는 표준 개정 검토 대상이 된다.</w:t>
      </w:r>
    </w:p>
    <w:p>
      <w:r>
        <w:t>• 구조적 문제로 판단될 경우 표준 수정 후 Release Gate 재적용한다.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