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120"/>
        <w:jc w:val="center"/>
      </w:pPr>
      <w:r>
        <w:rPr>
          <w:sz w:val="80"/>
          <w:szCs w:val="80"/>
        </w:rPr>
        <w:t xml:space="preserve">📘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AI Agent SaaS Framework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374151"/>
          <w:sz w:val="30"/>
          <w:szCs w:val="30"/>
        </w:rPr>
        <w:t xml:space="preserve">설계 지도 — Why &amp; What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문서 1 of 3  —  설계 지도 (Why &amp; What)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4A3B8"/>
          <w:sz w:val="19"/>
          <w:szCs w:val="19"/>
        </w:rPr>
        <w:t xml:space="preserve">버전 v1.0  |  2026년 3월  |  전체 팀</w:t>
      </w:r>
    </w:p>
    <w:p>
      <w:r>
        <w:br w:type="page"/>
      </w:r>
    </w:p>
    <w:p>
      <w:pPr>
        <w:pBdr>
          <w:left w:val="thick" w:color="312E81" w:sz="12"/>
        </w:pBdr>
        <w:shd w:fill="E0E7FF" w:val="clear"/>
        <w:spacing w:before="70" w:after="22"/>
        <w:ind w:left="320" w:right="1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📘 이 문서 (Framework)      → 무엇을, 왜 이렇게 결정했는가?</w:t>
      </w:r>
    </w:p>
    <w:p>
      <w:pPr>
        <w:pBdr>
          <w:left w:val="thick" w:color="312E81" w:sz="12"/>
        </w:pBdr>
        <w:shd w:fill="E0E7FF" w:val="clear"/>
        <w:spacing w:before="22" w:after="22"/>
        <w:ind w:left="320" w:right="1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📗 Implementation Guide     → 어떻게 코드로 구현하는가?</w:t>
      </w:r>
    </w:p>
    <w:p>
      <w:pPr>
        <w:pBdr>
          <w:left w:val="thick" w:color="312E81" w:sz="12"/>
        </w:pBdr>
        <w:shd w:fill="E0E7FF" w:val="clear"/>
        <w:spacing w:before="22" w:after="22"/>
        <w:ind w:left="320" w:right="1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📙 Quick Reference Card     → 개발 중 규칙 즉시 참조</w:t>
      </w:r>
    </w:p>
    <w:p>
      <w:pPr>
        <w:pBdr>
          <w:left w:val="thick" w:color="312E81" w:sz="12"/>
        </w:pBdr>
        <w:shd w:fill="E0E7FF" w:val="clear"/>
        <w:spacing w:before="22" w:after="22"/>
        <w:ind w:left="320" w:right="1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/>
      </w:r>
    </w:p>
    <w:p>
      <w:pPr>
        <w:pBdr>
          <w:left w:val="thick" w:color="312E81" w:sz="12"/>
        </w:pBdr>
        <w:shd w:fill="E0E7FF" w:val="clear"/>
        <w:spacing w:before="22" w:after="70"/>
        <w:ind w:left="320" w:right="1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신규 팀원은 이 문서부터 읽으세요. 설계 결정 이유를 이해한 후 구현 가이드를 따르세요.</w:t>
      </w:r>
    </w:p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전체 설계 영역 지도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설계 영역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 문서의 결정 번호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Platform Foundation — 기반 구조, 기술 스택, 환경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결정 1, 2, 3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02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Identity &amp; Access — 인증·인가·세션·OAuth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결정 4, 5, 6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Tenant Management — 멀티테넌시, 조직, 구독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결정 7, 8, 9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04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Governance — 데이터 보안·보존·감사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결정 10, 11, 12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FFAF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FFAF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Application Architecture — 서비스 구조, 모듈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FFAF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결정 13, 14, 15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 &amp; API — API 설계, Webhook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결정 16, 17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Observability — 로깅, 메트릭, 알림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결정 18, 19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08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Governance &amp; Standards — 컨벤션, 보안, CI/CD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결정 20, 21, 22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09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Localization — 다국어, 시간대, 통화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결정 23, 24, 25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Agent Architecture — Agent 설계·메모리·안전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결정 26, 27, 28, 29</w:t>
            </w:r>
          </w:p>
        </w:tc>
      </w:tr>
    </w:tbl>
    <w:p>
      <w:r>
        <w:br w:type="page"/>
      </w:r>
    </w:p>
    <w:p>
      <w:pPr>
        <w:shd w:fill="1F4E79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01  Platform Foundation</w:t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결정 1 — 기술 스택</w:t>
      </w:r>
    </w:p>
    <w:p>
      <w:pPr>
        <w:spacing w:before="60" w:after="60"/>
        <w:ind w:left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각 기술은 '팀 숙련도 + AI 생태계 호환성'을 최우선 기준으로 선택했다.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선택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탈락한 대안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결정 이유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FastAPI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Django REST, Express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async 완전 지원 + 자동 OpenAPI + Python AI 생태계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SQLAlchemy 2.0 async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Tortoise, Prisma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가장 성숙한 Python async ORM + Alembic 통합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Next.js 14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Vite+React, Remix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SSR/SSG/ISR 혼합 + TypeScript 기본 + SEO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DB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MySQL, MongoDB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ACID + JSONB + pgvector 단일 DB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Cache/Queue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 7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Memcached, RabbitMQ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In-Memory + Pub/Sub + Session 단일 도구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Orchestration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LangChain + LangGraph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AutoGen, CrewAI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상태 기반 워크플로우 표준, 생태계 최대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DB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pgvector → Qdrant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Pinecone, Weaviate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E7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초기 PG 통합, 규모 증가 시 전문 DB 전환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 Component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shadcn/ui + Tailwind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MUI, Ant Design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컴포넌트 소유권 + 번들 최소화 + 커스터마이징 자유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결정 2 — 환경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환경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목적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인프라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왜 이 환경이 필요한가?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개발자 개인 개발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팀 통합 테스트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Railway/Render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 브랜치가 곧 staging이 되는 혼란 방지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staging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프로덕션 검증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AWS (운영 동일)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프로덕션 배포 전 마지막 검증 관문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실제 서비스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AWS ECS + RDS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결정 3 — Feature Flag</w:t>
      </w:r>
    </w:p>
    <w:p>
      <w:pPr>
        <w:spacing w:before="60" w:after="60"/>
        <w:ind w:left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왜 필요한가? 완성되지 않은 기능이 코드에 있어도 사용자에게 노출되지 않게 하고, 플랜별 기능을 선별 제공한다.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플래그 키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활성화 조건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ai_agent_enabled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 이상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ai_agent_advanced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api_access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 이상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sso_saml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export_excel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 이상</w:t>
            </w:r>
          </w:p>
        </w:tc>
      </w:tr>
    </w:tbl>
    <w:p>
      <w:r>
        <w:br w:type="page"/>
      </w:r>
    </w:p>
    <w:p>
      <w:pPr>
        <w:shd w:fill="312E81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02  Identity &amp; Access</w:t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결정 4 — 인증 방식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고려 이유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탈락 이유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채택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 ✅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Stateless → 수평 확장 용이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토큰 강제 만료 어려움 → Rotate로 보완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Session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즉시 무효화 가능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 의존 + 수평 확장 복잡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Passwordless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보안 강화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UX 변화 크고 이메일 의존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left w:val="thick" w:color="166534" w:sz="12"/>
        </w:pBdr>
        <w:shd w:fill="DCFCE7" w:val="clear"/>
        <w:spacing w:before="70" w:after="22"/>
        <w:ind w:left="320" w:right="1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Access Token  : 만료 15분 | 저장: 클라이언트 메모리 (Zustand)  ← XSS 방어</w:t>
      </w:r>
    </w:p>
    <w:p>
      <w:pPr>
        <w:pBdr>
          <w:left w:val="thick" w:color="166534" w:sz="12"/>
        </w:pBdr>
        <w:shd w:fill="DCFCE7" w:val="clear"/>
        <w:spacing w:before="22" w:after="22"/>
        <w:ind w:left="320" w:right="1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Refresh Token : 만료 30일 | 저장: HttpOnly Cookie (SameSite=Strict)  ← CSRF 방어</w:t>
      </w:r>
    </w:p>
    <w:p>
      <w:pPr>
        <w:pBdr>
          <w:left w:val="thick" w:color="166534" w:sz="12"/>
        </w:pBdr>
        <w:shd w:fill="DCFCE7" w:val="clear"/>
        <w:spacing w:before="22" w:after="70"/>
        <w:ind w:left="320" w:right="1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Refresh Rotate: 사용할 때마다 새 토큰 발급 + 이전 토큰 즉시 Blacklist  ← 탈취 감지</w:t>
      </w:r>
    </w:p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결정 5 — 인가 모델 (RBAC)</w:t>
      </w:r>
    </w:p>
    <w:p>
      <w:pPr>
        <w:spacing w:before="60" w:after="60"/>
        <w:ind w:left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왜 RBAC인가? ABAC은 표현력이 높지만 초기 B2B SaaS는 RBAC으로 95%를 충족한다. 이후 ABAC을 레이어로 추가 가능.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퍼미션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viewer</w:t>
            </w:r>
          </w:p>
        </w:tc>
      </w:tr>
      <w:tr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org:delete — 조직 삭제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org:settings — 설정 변경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members:invite — 멤버 초대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data:create — 데이터 생성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data:read — 데이터 조회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data:delete — 데이터 삭제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agent:run — Agent 실행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billing:manage — 결제 관리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결정 6 — 소셜 로그인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OAuth2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1순위 (필수)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B2B 고객 대부분 Google Workspace 사용. 프로필 자동 수집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OAuth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2순위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개발자 향 제품. 내부 테스트에도 유용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Microsoft Entra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3순위 (Enterprise)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대기업 고객 SAML/SSO 확장 시 필요</w:t>
            </w:r>
          </w:p>
        </w:tc>
      </w:tr>
    </w:tbl>
    <w:p>
      <w:r>
        <w:br w:type="page"/>
      </w:r>
    </w:p>
    <w:p>
      <w:pPr>
        <w:shd w:fill="0F766E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03  Tenant Management</w:t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결정 7 — 멀티테넌시 격리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전략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격리 수준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운영 비용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채택 여부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Silo (DB 분리)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최상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테넌트 수 × 비용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초기 스타트업에 부적합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Bridge (Schema 분리)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높음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관리 복잡도 증가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마이그레이션 관리 어려움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Pool (Row 분리) ✅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중간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낮음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초기 비용 최소화, Bridge 전환 경로 확보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left w:val="thick" w:color="2E75B6" w:sz="12"/>
        </w:pBdr>
        <w:shd w:fill="DBEAFE" w:val="clear"/>
        <w:spacing w:before="70" w:after="70"/>
        <w:ind w:left="320" w:right="1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Pool의 단점 보완책: SQLAlchemy Session Event로 WHERE organization_id = :tenant_id 자동 주입 → 개발자 실수 방지</w:t>
      </w:r>
    </w:p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결정 8 — 도메인 계층 구조</w:t>
      </w:r>
    </w:p>
    <w:p>
      <w:pPr>
        <w:pBdr>
          <w:left w:val="thick" w:color="0F766E" w:sz="12"/>
        </w:pBdr>
        <w:shd w:fill="CCFBF1" w:val="clear"/>
        <w:spacing w:before="80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Organization (테넌트 = 회사)         최상위 계약 단위</w:t>
      </w:r>
    </w:p>
    <w:p>
      <w:pPr>
        <w:pBdr>
          <w:left w:val="thick" w:color="0F766E" w:sz="12"/>
        </w:pBdr>
        <w:shd w:fill="CCFBF1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└── Workspace (프로젝트/팀 공간)   나중에 추가하면 DB 마이그레이션 비용 큼 → 처음부터</w:t>
      </w:r>
    </w:p>
    <w:p>
      <w:pPr>
        <w:pBdr>
          <w:left w:val="thick" w:color="0F766E" w:sz="12"/>
        </w:pBdr>
        <w:shd w:fill="CCFBF1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└── Member (접근 사용자)</w:t>
      </w:r>
    </w:p>
    <w:p>
      <w:pPr>
        <w:pBdr>
          <w:left w:val="thick" w:color="0F766E" w:sz="12"/>
        </w:pBdr>
        <w:shd w:fill="CCFBF1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└── User (실제 사람)</w:t>
      </w:r>
    </w:p>
    <w:p>
      <w:pPr>
        <w:pBdr>
          <w:left w:val="thick" w:color="0F766E" w:sz="12"/>
        </w:pBdr>
        <w:shd w:fill="CCFBF1" w:val="clear"/>
        <w:spacing w:before="18" w:after="80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Subscription (결제/플랜)             Organization 단위</w:t>
      </w:r>
    </w:p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결정 9 — 구독 플랜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</w:t>
            </w:r>
          </w:p>
        </w:tc>
        <w:tc>
          <w:tcPr>
            <w:tcW w:type="dxa" w:w="1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1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</w:t>
            </w:r>
          </w:p>
        </w:tc>
        <w:tc>
          <w:tcPr>
            <w:tcW w:type="dxa" w:w="1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가격</w:t>
            </w:r>
          </w:p>
        </w:tc>
        <w:tc>
          <w:tcPr>
            <w:tcW w:type="dxa" w:w="1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무료</w:t>
            </w:r>
          </w:p>
        </w:tc>
        <w:tc>
          <w:tcPr>
            <w:tcW w:type="dxa" w:w="1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$29/월</w:t>
            </w:r>
          </w:p>
        </w:tc>
        <w:tc>
          <w:tcPr>
            <w:tcW w:type="dxa" w:w="1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$99/월</w:t>
            </w:r>
          </w:p>
        </w:tc>
        <w:tc>
          <w:tcPr>
            <w:tcW w:type="dxa" w:w="1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협의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멤버 수</w:t>
            </w:r>
          </w:p>
        </w:tc>
        <w:tc>
          <w:tcPr>
            <w:tcW w:type="dxa" w:w="1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3명</w:t>
            </w:r>
          </w:p>
        </w:tc>
        <w:tc>
          <w:tcPr>
            <w:tcW w:type="dxa" w:w="1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10명</w:t>
            </w:r>
          </w:p>
        </w:tc>
        <w:tc>
          <w:tcPr>
            <w:tcW w:type="dxa" w:w="1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50명</w:t>
            </w:r>
          </w:p>
        </w:tc>
        <w:tc>
          <w:tcPr>
            <w:tcW w:type="dxa" w:w="1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무제한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 실행/월</w:t>
            </w:r>
          </w:p>
        </w:tc>
        <w:tc>
          <w:tcPr>
            <w:tcW w:type="dxa" w:w="1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10회</w:t>
            </w:r>
          </w:p>
        </w:tc>
        <w:tc>
          <w:tcPr>
            <w:tcW w:type="dxa" w:w="1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100회</w:t>
            </w:r>
          </w:p>
        </w:tc>
        <w:tc>
          <w:tcPr>
            <w:tcW w:type="dxa" w:w="1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1,000회</w:t>
            </w:r>
          </w:p>
        </w:tc>
        <w:tc>
          <w:tcPr>
            <w:tcW w:type="dxa" w:w="1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무제한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접근</w:t>
            </w:r>
          </w:p>
        </w:tc>
        <w:tc>
          <w:tcPr>
            <w:tcW w:type="dxa" w:w="1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SSO/SAML</w:t>
            </w:r>
          </w:p>
        </w:tc>
        <w:tc>
          <w:tcPr>
            <w:tcW w:type="dxa" w:w="1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>
      <w:r>
        <w:br w:type="page"/>
      </w:r>
    </w:p>
    <w:p>
      <w:pPr>
        <w:shd w:fill="4C1D95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04  Data Governance</w:t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결정 10 — 데이터 등급 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 방법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공개 문서, 마케팅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일반 저장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업무 데이터, 프로젝트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테넌트 격리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PII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이메일, 전화번호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마스킹 + 암호화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Restricted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키, 비밀번호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AES-256 + AWS KMS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결정 11 — 보존 정책  ·  결정 12 — Soft Delete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보존 기간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감사 로그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3년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SOC2, ISO27001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결제 기록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5년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세법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사용자 계정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탈퇴 후 30일 → Hard Delete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개인정보보호법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대화 기록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1년 (테넌트 설정 가능)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내부 정책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left w:val="thick" w:color="2E75B6" w:sz="12"/>
        </w:pBdr>
        <w:shd w:fill="DBEAFE" w:val="clear"/>
        <w:spacing w:before="70" w:after="70"/>
        <w:ind w:left="320" w:right="1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Soft Delete 이유: Hard Delete는 복구 불가. 법적 분쟁·감사 시 데이터가 반드시 필요한 경우가 생긴다.</w:t>
      </w:r>
    </w:p>
    <w:p>
      <w:r>
        <w:br w:type="page"/>
      </w:r>
    </w:p>
    <w:p>
      <w:pPr>
        <w:shd w:fill="0E7490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05  Application Architecture</w:t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결정 13 — 서비스 아키텍처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아키텍처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장점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단점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채택 시점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Monolith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개발 빠름, 디버깅 쉬움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팀 규모 커지면 병목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팀 10명 이하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Modular Monolith ✅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빠른 개발 + 분리 경로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모듈 경계 규율 필요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팀 5~20명 ✅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Microservice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독립 배포, 기술 다양성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운영 복잡도 폭발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팀 20명+, 도메인 안정화 후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left w:val="thick" w:color="2E75B6" w:sz="12"/>
        </w:pBdr>
        <w:shd w:fill="DBEAFE" w:val="clear"/>
        <w:spacing w:before="70" w:after="70"/>
        <w:ind w:left="320" w:right="1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Modular Monolith 규칙: 도메인 간 직접 import 금지. 서비스 레이어 또는 내부 이벤트를 통해서만 통신.</w:t>
      </w:r>
    </w:p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결정 14 — 레이어드 아키텍처  ·  결정 15 — 이벤트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책임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금지 사항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Router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요청/응답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비즈니스 로직 직접 구현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비즈니스 로직 전담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 직접 접근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Repository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 쿼리 전담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비즈니스 로직 포함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 스키마 정의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로직 포함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left w:val="thick" w:color="2E75B6" w:sz="12"/>
        </w:pBdr>
        <w:shd w:fill="DBEAFE" w:val="clear"/>
        <w:spacing w:before="70" w:after="22"/>
        <w:ind w:left="320" w:right="1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이벤트 처리 단계적 전략:</w:t>
      </w:r>
    </w:p>
    <w:p>
      <w:pPr>
        <w:pBdr>
          <w:left w:val="thick" w:color="2E75B6" w:sz="12"/>
        </w:pBdr>
        <w:shd w:fill="DBEAFE" w:val="clear"/>
        <w:spacing w:before="22" w:after="22"/>
        <w:ind w:left="320" w:right="1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현재: 내부 이벤트 버스 (메모리, 동일 프로세스) — 인터페이스 동일 유지</w:t>
      </w:r>
    </w:p>
    <w:p>
      <w:pPr>
        <w:pBdr>
          <w:left w:val="thick" w:color="2E75B6" w:sz="12"/>
        </w:pBdr>
        <w:shd w:fill="DBEAFE" w:val="clear"/>
        <w:spacing w:before="22" w:after="70"/>
        <w:ind w:left="320" w:right="1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이후: Kafka / AWS SQS 전환 시 비즈니스 로직 변경 없음</w:t>
      </w:r>
    </w:p>
    <w:p>
      <w:r>
        <w:br w:type="page"/>
      </w:r>
    </w:p>
    <w:p>
      <w:pPr>
        <w:shd w:fill="C2410C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06  Integration &amp; API</w:t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결정 16 — API 설계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원칙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복수 명사 리소스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동사 URL 금지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/agents /organizations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메서드로 행위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URL에 동사 없음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/agents (생성), DELETE /agents/{id}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계층 구조 중첩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최대 2단계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/organizations/{id}/members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버전 접두사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URL에 명시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필터는 쿼리 파라미터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경로에 포함 금지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?status=active&amp;sort=-created_at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left w:val="thick" w:color="2E75B6" w:sz="12"/>
        </w:pBdr>
        <w:shd w:fill="DBEAFE" w:val="clear"/>
        <w:spacing w:before="70" w:after="70"/>
        <w:ind w:left="320" w:right="1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버전 정책: Breaking Change(필드 제거, 타입 변경) 시에만 v2. 구버전 6개월 유지 후 폐기.</w:t>
      </w:r>
    </w:p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결정 17 — 표준 응답 포맷</w:t>
      </w:r>
    </w:p>
    <w:p>
      <w:pPr>
        <w:pBdr>
          <w:left w:val="thick" w:color="C2410C" w:sz="12"/>
        </w:pBdr>
        <w:shd w:fill="F8FAFC" w:val="clear"/>
        <w:spacing w:before="80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성공 (단건)</w:t>
      </w:r>
    </w:p>
    <w:p>
      <w:pPr>
        <w:pBdr>
          <w:left w:val="thick" w:color="C2410C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{ "success": true, "data": {...}, "meta": { "request_id": "..." } }</w:t>
      </w:r>
    </w:p>
    <w:p>
      <w:pPr>
        <w:pBdr>
          <w:left w:val="thick" w:color="C2410C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C2410C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성공 (목록)</w:t>
      </w:r>
    </w:p>
    <w:p>
      <w:pPr>
        <w:pBdr>
          <w:left w:val="thick" w:color="C2410C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{ "success": true, "data": { "items": [...], "total": 100, "page": 1, "size": 20 } }</w:t>
      </w:r>
    </w:p>
    <w:p>
      <w:pPr>
        <w:pBdr>
          <w:left w:val="thick" w:color="C2410C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C2410C" w:sz="12"/>
        </w:pBdr>
        <w:shd w:fill="F8FAFC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실패</w:t>
      </w:r>
    </w:p>
    <w:p>
      <w:pPr>
        <w:pBdr>
          <w:left w:val="thick" w:color="C2410C" w:sz="12"/>
        </w:pBdr>
        <w:shd w:fill="F8FAFC" w:val="clear"/>
        <w:spacing w:before="18" w:after="80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{ "success": false, "error": { "code": "ERR_AUTH_002", "message": "..." } }</w:t>
      </w:r>
    </w:p>
    <w:p>
      <w:pPr>
        <w:pBdr>
          <w:left w:val="thick" w:color="2E75B6" w:sz="12"/>
        </w:pBdr>
        <w:shd w:fill="DBEAFE" w:val="clear"/>
        <w:spacing w:before="70" w:after="70"/>
        <w:ind w:left="320" w:right="1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이유: Frontend 응답 처리를 단일화. 에러 코드 기반 다국어 메시지 매핑 가능.</w:t>
      </w:r>
    </w:p>
    <w:p>
      <w:r>
        <w:br w:type="page"/>
      </w:r>
    </w:p>
    <w:p>
      <w:pPr>
        <w:shd w:fill="1E293B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07  Observability &amp; Operations</w:t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결정 18 — 구조화 로그</w:t>
      </w:r>
    </w:p>
    <w:p>
      <w:pPr>
        <w:spacing w:before="60" w:after="60"/>
        <w:ind w:left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왜 JSON 로그? 텍스트 로그는 검색·집계 어려움. JSON이면 CloudWatch Insights / Grafana Loki에서 즉시 쿼리 가능.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모든 로그에 포함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 · level · trace_id · org_id · user_id · request_id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로그에서 반드시 제외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password · token · api_key · secret · card_number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라이브러리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structlog (Python) — JSON 자동 직렬화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결정 19 — 모니터링 임계값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메트릭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경고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즉시 대응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채널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에러율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 1%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 5%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Slack → PagerDuty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P99 응답시간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 2초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 5초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Slack → PagerDuty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 실행 성공률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95%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Slack #alerts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 연결 풀 사용률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 80%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Slack #alerts</w:t>
            </w:r>
          </w:p>
        </w:tc>
      </w:tr>
    </w:tbl>
    <w:p>
      <w:r>
        <w:br w:type="page"/>
      </w:r>
    </w:p>
    <w:p>
      <w:pPr>
        <w:shd w:fill="166534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08  Governance &amp; Standards</w:t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결정 20 — CI/CD  ·  결정 21 — 배포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전략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적용 환경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Rolling Update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빠른 배포, 약간의 다운타임 허용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Blue-Green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무중단 + 즉시 롤백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Canary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대규모 기능 출시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5% → 25% → 100% 점진적 이동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Feature Flag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기능 단위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코드 배포 없이 on/off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결정 22 — 보안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결정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전송 암호화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TLS 1.3 강제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중간자 공격 방어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저장 암호화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AES-256 + AWS KMS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유출 시 복호화 불가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비밀번호 해시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bcrypt cost=12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무차별 대입 공격 방어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 100 req/min · API Token 1,000 req/min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DoS 방어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로그인 실패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5회 / 15분 잠금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Brute-force 방어</w:t>
            </w:r>
          </w:p>
        </w:tc>
      </w:tr>
    </w:tbl>
    <w:p>
      <w:r>
        <w:br w:type="page"/>
      </w:r>
    </w:p>
    <w:p>
      <w:pPr>
        <w:shd w:fill="0F766E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09  Localization &amp; Globalization</w:t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결정 23 — 다국어  ·  결정 24 — 시간대  ·  결정 25 — 금액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결정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다국어 지원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ko(기본) → en → ja. next-intl / Babel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나중에 추가하면 모든 UI 문자열 일괄 교체 필요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시간대 저장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 = UTC, API 응답 = ISO 8601 UTC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다국가 서비스 시간대 변환 버그 원천 차단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금액 저장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정수 최소 단위: $10.00 → 1000 (cents)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부동소수점 반올림 오차로 결제 금액 오류 방지</w:t>
            </w:r>
          </w:p>
        </w:tc>
      </w:tr>
    </w:tbl>
    <w:p>
      <w:r>
        <w:br w:type="page"/>
      </w:r>
    </w:p>
    <w:p>
      <w:pPr>
        <w:shd w:fill="991B1B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10  AI Agent Architecture</w:t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결정 26 — Agent 실행 프레임워크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프레임워크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탈락 이유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채택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LangGraph ✅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상태 기반 그래프, 조건부 분기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LangChain Agents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단순 ReAct Loop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복잡한 멀티에이전트 흐름 표현 어려움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AutoGen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대화형 멀티에이전트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워크플로우 제어 어려움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CrewAI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역할 기반 에이전트 팀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커스터마이징 제약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결정 27 — Agent 유형  ·  결정 28 — Memory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메모리 유형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저장 위치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단기 (대화 컨텍스트)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세션 종료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빠른 읽기/쓰기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중기 (대화 요약)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90일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영속적 보존 필요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장기 (지식 베이스)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pgvector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영구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벡터 유사 검색 필요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작업 (실행 중 상태)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실행 종료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임시 데이터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left w:val="thick" w:color="2E75B6" w:sz="12"/>
        </w:pBdr>
        <w:shd w:fill="DBEAFE" w:val="clear"/>
        <w:spacing w:before="70" w:after="70"/>
        <w:ind w:left="320" w:right="1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pgvector를 먼저 쓰는 이유: 초기엔 PG 통합으로 인프라 단순화. 임베딩 수천만 건 초과 시 Qdrant 전환.</w:t>
      </w:r>
    </w:p>
    <w:p>
      <w:pPr>
        <w:spacing w:before="60" w:after="0"/>
      </w:pPr>
      <w:r>
        <w:t xml:space="preserve"/>
      </w:r>
    </w:p>
    <w:p>
      <w:pPr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결정 29 — AI 안전성 (3중 Guardrail)</w:t>
      </w:r>
    </w:p>
    <w:p>
      <w:pPr>
        <w:pBdr>
          <w:left w:val="thick" w:color="991B1B" w:sz="12"/>
        </w:pBdr>
        <w:shd w:fill="FEE2E2" w:val="clear"/>
        <w:spacing w:before="80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[입력 단계]  최대 토큰 제한 · OpenAI Moderation · 프롬프트 인젝션 감지 · PII 마스킹</w:t>
      </w:r>
    </w:p>
    <w:p>
      <w:pPr>
        <w:pBdr>
          <w:left w:val="thick" w:color="991B1B" w:sz="12"/>
        </w:pBdr>
        <w:shd w:fill="FEE2E2" w:val="clear"/>
        <w:spacing w:before="18" w:after="18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[실행 단계]  max_iterations 제한 · 타임아웃 120초 · 허용 Tool만 · URL 화이트리스트</w:t>
      </w:r>
    </w:p>
    <w:p>
      <w:pPr>
        <w:pBdr>
          <w:left w:val="thick" w:color="991B1B" w:sz="12"/>
        </w:pBdr>
        <w:shd w:fill="FEE2E2" w:val="clear"/>
        <w:spacing w:before="18" w:after="80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[출력 단계]  유해 콘텐츠 재검증 · PII 마스킹 · 환각 신뢰도 체크</w:t>
      </w:r>
    </w:p>
    <w:p>
      <w:r>
        <w:br w:type="page"/>
      </w:r>
    </w:p>
    <w:p>
      <w:pPr>
        <w:shd w:fill="1F4E79" w:val="clear"/>
        <w:spacing w:before="400" w:after="16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Architecture Decision Record (ADR)</w:t>
      </w:r>
    </w:p>
    <w:p>
      <w:pPr>
        <w:spacing w:before="60" w:after="60"/>
        <w:ind w:left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설계를 변경할 때마다 이 목록에 추가하고 이유와 재검토 조건을 기록한다.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결정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이유 요약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재검토 조건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001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Backend: FastAPI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async + AI 생태계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팀 기술 스택 전환 시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002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DB: PostgreSQL + pgvector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ACID + 벡터 단일 DB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임베딩 수천만 건 초과 시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003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인증: JWT Rotate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Stateless + 탈취 감지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004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멀티테넌시: Pool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초기 비용 최소화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테넌트 10,000개 초과 시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005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Modular Monolith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개발 속도 + 분리 경로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팀 20명 초과 시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006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LangChain + LangGraph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상태 기반 워크플로우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더 나은 프레임워크 등장 시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007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pgvector → Qdrant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📋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초기 단순화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임베딩 규모 확대 시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008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내부 이벤트 → Kafka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📋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초기 단순화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서비스 분리 시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009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 Query + Zustand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서버/클라이언트 상태 분리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 → ECS → K8s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📋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단계별 확장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월 트래픽 1M 초과 시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</w:pPr>
    <w:r>
      <w:rPr>
        <w:rFonts w:ascii="Arial" w:cs="Arial" w:eastAsia="Arial" w:hAnsi="Arial"/>
        <w:color w:val="94A3B8"/>
        <w:sz w:val="15"/>
        <w:szCs w:val="15"/>
      </w:rPr>
      <w:t xml:space="preserve">문서 1 of 3  —  설계 지도 (Why &amp; What)  |  v1.0  |  2026.03  |  팀 내부 기밀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1"/>
      </w:pBd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� AI Agent SaaS Framework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94A3B8"/>
        <w:sz w:val="16"/>
        <w:szCs w:val="16"/>
      </w:rPr>
      <w:t xml:space="preserve">설계 결정 29개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2026-03-07T17:28:51.104Z</dcterms:created>
  <dcterms:modified xsi:type="dcterms:W3CDTF">2026-03-07T17:28:51.105Z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