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2D40"/>
          <w:sz w:val="56"/>
          <w:szCs w:val="56"/>
        </w:rPr>
        <w:t xml:space="preserve">CAPE</w:t>
      </w:r>
    </w:p>
    <w:p>
      <w:pPr>
        <w:spacing w:after="40"/>
        <w:jc w:val="center"/>
      </w:pPr>
      <w:r>
        <w:rPr>
          <w:b/>
          <w:bCs/>
          <w:color w:val="00B4D8"/>
          <w:sz w:val="28"/>
          <w:szCs w:val="28"/>
        </w:rPr>
        <w:t xml:space="preserve">Carbon-Aware Predictive Engine for LAX Logistics</w:t>
      </w:r>
    </w:p>
    <w:p>
      <w:pPr>
        <w:spacing w:after="360"/>
        <w:jc w:val="center"/>
      </w:pPr>
      <w:r>
        <w:rPr>
          <w:i/>
          <w:iCs/>
          <w:sz w:val="24"/>
          <w:szCs w:val="24"/>
        </w:rPr>
        <w:t xml:space="preserve">Data Sources &amp; Methodology Reference</w:t>
      </w:r>
    </w:p>
    <w:p>
      <w:pPr>
        <w:pBdr>
          <w:bottom w:val="single" w:color="CCCCCC" w:sz="4" w:space="8"/>
        </w:pBdr>
        <w:spacing w:after="480"/>
        <w:jc w:val="center"/>
      </w:pPr>
      <w:r>
        <w:rPr>
          <w:color w:val="666666"/>
          <w:sz w:val="18"/>
          <w:szCs w:val="18"/>
        </w:rPr>
        <w:t xml:space="preserve">CSULA Department of CIS  |  SAIES Research Organization  |  NSF Grant Project</w:t>
      </w:r>
    </w:p>
    <w:p>
      <w:pPr>
        <w:spacing w:after="160"/>
      </w:pPr>
      <w:r>
        <w:rPr>
          <w:sz w:val="22"/>
          <w:szCs w:val="22"/>
        </w:rPr>
        <w:t xml:space="preserve">This document explains where every figure in the three CAPE data files originates, what was sourced directly from public records versus calculated using a documented methodology, and how each column connects back to its source. It is intended to give reviewers a clear and honest accounting of data provenance.</w:t>
      </w:r>
    </w:p>
    <w:p>
      <w:pPr>
        <w:pStyle w:val="Heading1"/>
      </w:pPr>
      <w:r>
        <w:t>How to Read This Document: Two Data Layers</w:t>
      </w:r>
    </w:p>
    <w:p>
      <w:r>
        <w:rPr>
          <w:rFonts w:ascii="Arial" w:hAnsi="Arial"/>
          <w:b w:val="0"/>
        </w:rPr>
        <w:t>CAPE draws on two separate datasets that play different roles. Keeping them distinct is essential to reading every figure in this document correctly.</w:t>
      </w:r>
    </w:p>
    <w:p>
      <w:r>
        <w:rPr>
          <w:rFonts w:ascii="Arial" w:hAnsi="Arial"/>
          <w:b/>
        </w:rPr>
        <w:t xml:space="preserve">ERPsim layer (the mechanism).  </w:t>
      </w:r>
      <w:r>
        <w:rPr>
          <w:rFonts w:ascii="Arial" w:hAnsi="Arial"/>
          <w:b w:val="0"/>
        </w:rPr>
        <w:t>The carbon-aware decision mechanism — how inventory overstock and order risk translate into CO2e — is demonstrated on SAP ERPsim simulation tables (Sales, Carbon Emissions, Inventory, and others). That is where the working analysis lives, because it is the only dataset linking orders, inventory, and emissions together. ERPsim is SAP’s own simulation environment.</w:t>
      </w:r>
    </w:p>
    <w:p>
      <w:r>
        <w:rPr>
          <w:rFonts w:ascii="Arial" w:hAnsi="Arial"/>
          <w:b/>
        </w:rPr>
        <w:t xml:space="preserve">LAX layer (this document).  </w:t>
      </w:r>
      <w:r>
        <w:rPr>
          <w:rFonts w:ascii="Arial" w:hAnsi="Arial"/>
          <w:b w:val="0"/>
        </w:rPr>
        <w:t>The files documented here — Sales.xlsx, Prices.xlsx, and Carbon Emissions.xlsx — are a LAX-grounded modeled overlay. They combine real LAX cargo tonnage and standard published emission factors with representative fields. Their role is real-world motivation and volume context, not measured carbon outcomes.</w:t>
      </w:r>
    </w:p>
    <w:p>
      <w:pPr>
        <w:shd w:val="clear" w:fill="EAF2FA"/>
      </w:pPr>
      <w:r>
        <w:rPr>
          <w:rFonts w:ascii="Arial" w:hAnsi="Arial"/>
          <w:b/>
        </w:rPr>
        <w:t xml:space="preserve">What this means for the figures below:  </w:t>
      </w:r>
      <w:r>
        <w:rPr>
          <w:rFonts w:ascii="Arial" w:hAnsi="Arial"/>
          <w:b w:val="0"/>
        </w:rPr>
        <w:t>The tonnage, distances, and price-index values are real or standard. The delivery-status and overstock-penalty fields are representative and illustrate the concept rather than measure it. Because overstock carbon here is derived from an assigned delivery status, this layer demonstrates the CAPE logic; it does not prove a statistical relationship. The ERPsim layer carries the empirical weight; the LAX figures in this document are illustrative and grounded in real volumes.</w:t>
      </w:r>
    </w:p>
    <w:p>
      <w:pPr>
        <w:pStyle w:val="Heading1"/>
      </w:pPr>
      <w:r>
        <w:t xml:space="preserve">1. Sales.xlsx</w:t>
      </w:r>
    </w:p>
    <w:p>
      <w:pPr>
        <w:spacing w:after="160"/>
      </w:pPr>
      <w:r>
        <w:t xml:space="preserve">Tracks LAX air cargo volume and the resulting revenue/cost of each shipment lane.</w:t>
      </w:r>
    </w:p>
    <w:p>
      <w:pPr>
        <w:pStyle w:val="Heading2"/>
      </w:pPr>
      <w:r>
        <w:t xml:space="preserve">Primary Source</w:t>
      </w:r>
    </w:p>
    <w:p>
      <w:pPr>
        <w:spacing w:after="120"/>
      </w:pPr>
      <w:r>
        <w:rPr>
          <w:b/>
          <w:bCs/>
        </w:rPr>
        <w:t xml:space="preserve">LAWA Open Data Portal — LAX Air Cargo Volume: </w:t>
      </w:r>
      <w:hyperlink w:history="1" r:id="rIdzghzo_mjykmn57r3hktdz">
        <w:r>
          <w:rPr>
            <w:rStyle w:val="Hyperlink"/>
          </w:rPr>
          <w:t xml:space="preserve">https://data.lacity.org/Transportation/Los-Angeles-International-Airport-Air-Cargo-Volume/tx7r-x3hp</w:t>
        </w:r>
      </w:hyperlink>
    </w:p>
    <w:p>
      <w:pPr>
        <w:spacing w:after="160"/>
      </w:pPr>
      <w:r>
        <w:t xml:space="preserve">Published by Los Angeles World Airports (LAWA) via the City of Los Angeles Open Data Portal. Reports monthly freight and mail tonnage at LAX, broken down by Arrival/Departure and Domestic/International, from 2020 through 2023.</w:t>
      </w:r>
    </w:p>
    <w:p>
      <w:pPr>
        <w:pStyle w:val="Heading2"/>
      </w:pPr>
      <w:r>
        <w:t xml:space="preserve">What's Directly From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D40" w:val="clear"/>
            <w:tcMar>
              <w:top w:type="dxa" w:w="80"/>
              <w:left w:type="dxa" w:w="120"/>
              <w:bottom w:type="dxa" w:w="80"/>
              <w:right w:type="dxa" w:w="120"/>
            </w:tcMar>
          </w:tcPr>
          <w:p>
            <w:r>
              <w:rPr>
                <w:b/>
                <w:bCs/>
                <w:color w:val="FFFFFF"/>
                <w:sz w:val="20"/>
                <w:szCs w:val="20"/>
              </w:rPr>
              <w:t xml:space="preserve">Column</w:t>
            </w:r>
          </w:p>
        </w:tc>
        <w:tc>
          <w:tcPr>
            <w:tcW w:type="dxa" w:w="5860"/>
            <w:tcBorders>
              <w:top w:val="single" w:color="CCCCCC" w:sz="1"/>
              <w:left w:val="single" w:color="CCCCCC" w:sz="1"/>
              <w:bottom w:val="single" w:color="CCCCCC" w:sz="1"/>
              <w:right w:val="single" w:color="CCCCCC" w:sz="1"/>
            </w:tcBorders>
            <w:shd w:fill="1E2D40" w:val="clear"/>
            <w:tcMar>
              <w:top w:type="dxa" w:w="80"/>
              <w:left w:type="dxa" w:w="120"/>
              <w:bottom w:type="dxa" w:w="80"/>
              <w:right w:type="dxa" w:w="120"/>
            </w:tcMar>
          </w:tcPr>
          <w:p>
            <w:r>
              <w:rPr>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Derived from LAWA's ReportPeriod field (month/year)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AirCargoTons_LAWA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Reported tonnage, taken directly from LAWA dataset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Weight_kg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AirCargoTons_LAWA x 1,000 (unit conversion 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Domestic_International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Direct field from LAWA dataset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Arrival_Departure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Direct field from LAWA dataset</w:t>
            </w:r>
          </w:p>
        </w:tc>
      </w:tr>
    </w:tbl>
    <w:p>
      <w:pPr>
        <w:pStyle w:val="Heading2"/>
      </w:pPr>
      <w:r>
        <w:t xml:space="preserve">What's Calculated</w:t>
      </w:r>
    </w:p>
    <w:p>
      <w:pPr>
        <w:spacing w:after="160"/>
      </w:pPr>
      <w:r>
        <w:t xml:space="preserve">Revenue and Cost are not in the LAWA dataset (LAWA reports tonnage only, not dollar values). They are calculated as:</w:t>
      </w:r>
    </w:p>
    <w:p>
      <w:pPr>
        <w:pStyle w:val="ListParagraph"/>
        <w:numPr>
          <w:ilvl w:val="0"/>
          <w:numId w:val="2"/>
        </w:numPr>
        <w:spacing w:after="80"/>
      </w:pPr>
      <w:r>
        <w:t xml:space="preserve">Revenue = Weight_kg x Price_USD_per_kg_Used (matched from Prices.xlsx for the same date and route)</w:t>
      </w:r>
    </w:p>
    <w:p>
      <w:pPr>
        <w:pStyle w:val="ListParagraph"/>
        <w:numPr>
          <w:ilvl w:val="0"/>
          <w:numId w:val="2"/>
        </w:numPr>
        <w:spacing w:after="80"/>
      </w:pPr>
      <w:r>
        <w:t xml:space="preserve">Cost = Revenue x 0.67 (a documented assumption reflecting a ~33% gross margin, typical for air-cargo forwarders)</w:t>
      </w:r>
    </w:p>
    <w:p>
      <w:pPr>
        <w:pStyle w:val="Heading2"/>
      </w:pPr>
      <w:r>
        <w:t xml:space="preserve">What's Representative (Not From a Specific Source)</w:t>
      </w:r>
    </w:p>
    <w:p>
      <w:pPr>
        <w:spacing w:after="160"/>
      </w:pPr>
      <w:r>
        <w:t xml:space="preserve">LAWA's public dataset does not report carrier identity, cargo category, or shipment-level delivery status. The following fields are assigned representative values to make the dataset usable for the CAPE model, and should be understood as illustrative, not measured:</w:t>
      </w:r>
    </w:p>
    <w:p>
      <w:pPr>
        <w:pStyle w:val="ListParagraph"/>
        <w:numPr>
          <w:ilvl w:val="0"/>
          <w:numId w:val="2"/>
        </w:numPr>
        <w:spacing w:after="80"/>
      </w:pPr>
      <w:r>
        <w:t xml:space="preserve">Carrier — assigned from a list of real LAX cargo carriers (FedEx Air, UPS Air, DHL, Cathay Pacific Cargo, etc.)</w:t>
      </w:r>
    </w:p>
    <w:p>
      <w:pPr>
        <w:pStyle w:val="ListParagraph"/>
        <w:numPr>
          <w:ilvl w:val="0"/>
          <w:numId w:val="2"/>
        </w:numPr>
        <w:spacing w:after="80"/>
      </w:pPr>
      <w:r>
        <w:t xml:space="preserve">Material/Product — assigned from common LAX air cargo categories (Electronics, Pharmaceuticals, Auto Parts, etc.)</w:t>
      </w:r>
    </w:p>
    <w:p>
      <w:pPr>
        <w:pStyle w:val="ListParagraph"/>
        <w:numPr>
          <w:ilvl w:val="0"/>
          <w:numId w:val="2"/>
        </w:numPr>
        <w:spacing w:after="80"/>
      </w:pPr>
      <w:r>
        <w:t xml:space="preserve">Delivery_Status — assigned to create the on-time/late/at-risk variation the CAPE risk model is designed to analyze</w:t>
      </w:r>
    </w:p>
    <w:p>
      <w:pPr>
        <w:pStyle w:val="Heading1"/>
      </w:pPr>
      <w:r>
        <w:t xml:space="preserve">2. Prices.xlsx</w:t>
      </w:r>
    </w:p>
    <w:p>
      <w:pPr>
        <w:spacing w:after="160"/>
      </w:pPr>
      <w:r>
        <w:t xml:space="preserve">Tracks the per-kilogram air freight rate applied to each shipment lane and date.</w:t>
      </w:r>
    </w:p>
    <w:p>
      <w:pPr>
        <w:pStyle w:val="Heading2"/>
      </w:pPr>
      <w:r>
        <w:t xml:space="preserve">Primary Source</w:t>
      </w:r>
    </w:p>
    <w:p>
      <w:pPr>
        <w:spacing w:after="120"/>
      </w:pPr>
      <w:r>
        <w:rPr>
          <w:b/>
          <w:bCs/>
        </w:rPr>
        <w:t xml:space="preserve">Freightos Air Index (FAX) — Global: </w:t>
      </w:r>
      <w:hyperlink w:history="1" r:id="rIdo4i7_ntadcnqtplyewrbt">
        <w:r>
          <w:rPr>
            <w:rStyle w:val="Hyperlink"/>
          </w:rPr>
          <w:t xml:space="preserve">https://www.freightos.com/freightos-air-index/</w:t>
        </w:r>
      </w:hyperlink>
    </w:p>
    <w:p>
      <w:pPr>
        <w:spacing w:after="160"/>
      </w:pPr>
      <w:r>
        <w:t xml:space="preserve">The Freightos Air Index is a published, industry-standard air cargo pricing benchmark based on near-real-time booked freight transactions. Monthly values used in this file were read directly from the published FAX Global chart covering January 2021 through December 2023.</w:t>
      </w:r>
    </w:p>
    <w:p>
      <w:pPr>
        <w:pStyle w:val="Heading2"/>
      </w:pPr>
      <w:r>
        <w:t xml:space="preserve">What's Directly From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E2D40" w:val="clear"/>
            <w:tcMar>
              <w:top w:type="dxa" w:w="80"/>
              <w:left w:type="dxa" w:w="120"/>
              <w:bottom w:type="dxa" w:w="80"/>
              <w:right w:type="dxa" w:w="120"/>
            </w:tcMar>
          </w:tcPr>
          <w:p>
            <w:r>
              <w:rPr>
                <w:b/>
                <w:bCs/>
                <w:color w:val="FFFFFF"/>
                <w:sz w:val="20"/>
                <w:szCs w:val="20"/>
              </w:rPr>
              <w:t xml:space="preserve">Column</w:t>
            </w:r>
          </w:p>
        </w:tc>
        <w:tc>
          <w:tcPr>
            <w:tcW w:type="dxa" w:w="4860"/>
            <w:tcBorders>
              <w:top w:val="single" w:color="CCCCCC" w:sz="1"/>
              <w:left w:val="single" w:color="CCCCCC" w:sz="1"/>
              <w:bottom w:val="single" w:color="CCCCCC" w:sz="1"/>
              <w:right w:val="single" w:color="CCCCCC" w:sz="1"/>
            </w:tcBorders>
            <w:shd w:fill="1E2D40" w:val="clear"/>
            <w:tcMar>
              <w:top w:type="dxa" w:w="80"/>
              <w:left w:type="dxa" w:w="120"/>
              <w:bottom w:type="dxa" w:w="80"/>
              <w:right w:type="dxa" w:w="120"/>
            </w:tcMar>
          </w:tcPr>
          <w:p>
            <w:r>
              <w:rPr>
                <w:b/>
                <w:bCs/>
                <w:color w:val="FFFFFF"/>
                <w:sz w:val="20"/>
                <w:szCs w:val="20"/>
              </w:rPr>
              <w:t xml:space="preserve">Source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FAX_Global_Index_Ref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Monthly value read directly from the published FAX Global chart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Price_USD_per_kg (international lanes)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Equal to the FAX Global monthly value</w:t>
            </w:r>
          </w:p>
        </w:tc>
      </w:tr>
    </w:tbl>
    <w:p>
      <w:pPr>
        <w:pStyle w:val="Heading2"/>
      </w:pPr>
      <w:r>
        <w:t xml:space="preserve">What's Calculated</w:t>
      </w:r>
    </w:p>
    <w:p>
      <w:pPr>
        <w:spacing w:after="160"/>
      </w:pPr>
      <w:r>
        <w:t xml:space="preserve">Domestic lane prices are not separately published by the FAX Global index, which blends international trade lanes. Domestic Price_USD_per_kg = FAX Global value x 0.62 (a 38% discount), based on published comparisons of domestic vs. international air cargo rate spreads from Freightos and industry rate commentary (e.g. Supply Chain Xchange airfreight outlook reporting).</w:t>
      </w:r>
    </w:p>
    <w:p>
      <w:pPr>
        <w:spacing w:after="160"/>
      </w:pPr>
      <w:r>
        <w:t xml:space="preserve">Two months (Aug–Sep 2020) precede the FAX chart's published start date (Jan 2021) and are held flat at the chart's earliest visible value as a documented baseline assumption.</w:t>
      </w:r>
    </w:p>
    <w:p>
      <w:pPr>
        <w:pStyle w:val="Heading2"/>
      </w:pPr>
      <w:r>
        <w:t xml:space="preserve">Attribution</w:t>
      </w:r>
    </w:p>
    <w:p>
      <w:pPr>
        <w:spacing w:after="160"/>
      </w:pPr>
      <w:r>
        <w:rPr>
          <w:i/>
          <w:iCs/>
          <w:color w:val="666666"/>
          <w:sz w:val="18"/>
          <w:szCs w:val="18"/>
        </w:rPr>
        <w:t xml:space="preserve">Data licensed as 'Freightos Data' under the FBX Data License Agreement.</w:t>
      </w:r>
    </w:p>
    <w:p>
      <w:pPr>
        <w:spacing w:after="120"/>
      </w:pPr>
      <w:r>
        <w:rPr>
          <w:b/>
          <w:bCs/>
        </w:rPr>
        <w:t xml:space="preserve">License terms: </w:t>
      </w:r>
      <w:hyperlink w:history="1" r:id="rIdeuzpdh3rbwfwwdvl6-qpk">
        <w:r>
          <w:rPr>
            <w:rStyle w:val="Hyperlink"/>
          </w:rPr>
          <w:t xml:space="preserve">https://www.freightos.com/freightos-data-terms-conditions/</w:t>
        </w:r>
      </w:hyperlink>
    </w:p>
    <w:p>
      <w:pPr>
        <w:pStyle w:val="Heading1"/>
      </w:pPr>
      <w:r>
        <w:t xml:space="preserve">3. Carbon Emissions.xlsx</w:t>
      </w:r>
    </w:p>
    <w:p>
      <w:pPr>
        <w:spacing w:after="160"/>
      </w:pPr>
      <w:r>
        <w:t xml:space="preserve">Two sheets: per-shipment modeled emissions (Carbon_Emissions), and real airport-wide annual totals for validation (LAWA_Annual_Validation).</w:t>
      </w:r>
    </w:p>
    <w:p>
      <w:pPr>
        <w:pStyle w:val="Heading2"/>
      </w:pPr>
      <w:r>
        <w:t xml:space="preserve">Sheet 1: Carbon_Emissions — Methodology</w:t>
      </w:r>
    </w:p>
    <w:p>
      <w:pPr>
        <w:spacing w:after="160"/>
      </w:pPr>
      <w:r>
        <w:t xml:space="preserve">LAWA does not publish shipment-level carbon data, so per-shipment emissions are calculated using a transparent, citable formula rather than estimated arbitrarily:</w:t>
      </w:r>
    </w:p>
    <w:p>
      <w:pPr>
        <w:spacing w:after="160"/>
      </w:pPr>
      <w:r>
        <w:rPr>
          <w:b/>
          <w:bCs/>
          <w:sz w:val="20"/>
          <w:szCs w:val="20"/>
        </w:rPr>
        <w:t xml:space="preserve">Scope 1 CO2e (kg) = Great-circle distance (km) x shipment weight (tonnes) x emission factor</w:t>
      </w:r>
    </w:p>
    <w:p>
      <w:pPr>
        <w:pStyle w:val="ListParagraph"/>
        <w:numPr>
          <w:ilvl w:val="0"/>
          <w:numId w:val="2"/>
        </w:numPr>
        <w:spacing w:after="80"/>
      </w:pPr>
      <w:r>
        <w:t xml:space="preserve">Distance — standard published great-circle distance between LAX and each destination airport</w:t>
      </w:r>
    </w:p>
    <w:p>
      <w:pPr>
        <w:pStyle w:val="ListParagraph"/>
        <w:numPr>
          <w:ilvl w:val="0"/>
          <w:numId w:val="2"/>
        </w:numPr>
        <w:spacing w:after="80"/>
      </w:pPr>
      <w:r>
        <w:t xml:space="preserve">Emission factor — 1.02 kg CO2e/tonne-km for short-haul routes (&lt;3,000 km), 0.54 kg CO2e/tonne-km for long-haul routes, consistent with UK Government (DEFRA/BEIS) GHG Conversion Factors methodology and the ICAO Carbon Emissions Calculator's great-circle-distance approach</w:t>
      </w:r>
    </w:p>
    <w:p>
      <w:pPr>
        <w:spacing w:after="120"/>
      </w:pPr>
      <w:r>
        <w:rPr>
          <w:b/>
          <w:bCs/>
        </w:rPr>
        <w:t xml:space="preserve">ICAO Carbon Emissions Calculator Methodology: </w:t>
      </w:r>
      <w:hyperlink w:history="1" r:id="rIdzry1y1vz5qpvbioguhs2d">
        <w:r>
          <w:rPr>
            <w:rStyle w:val="Hyperlink"/>
          </w:rPr>
          <w:t xml:space="preserve">https://icec.icao.int/</w:t>
        </w:r>
      </w:hyperlink>
    </w:p>
    <w:p>
      <w:pPr>
        <w:spacing w:after="120"/>
      </w:pPr>
      <w:r>
        <w:rPr>
          <w:b/>
          <w:bCs/>
        </w:rPr>
        <w:t xml:space="preserve">UK Government GHG Conversion Factors (DEFRA/BEIS): </w:t>
      </w:r>
      <w:hyperlink w:history="1" r:id="rIdgww-7g4bwby5pb_nwl_rp">
        <w:r>
          <w:rPr>
            <w:rStyle w:val="Hyperlink"/>
          </w:rPr>
          <w:t xml:space="preserve">https://www.gov.uk/government/collections/government-conversion-factors-for-company-reporting</w:t>
        </w:r>
      </w:hyperlink>
    </w:p>
    <w:p>
      <w:pPr>
        <w:spacing w:after="120"/>
      </w:pPr>
      <w:r>
        <w:rPr>
          <w:b/>
          <w:bCs/>
        </w:rPr>
        <w:t xml:space="preserve">IATA Recommended Practice 1678 (Cargo CO2 Emissions Measurement): </w:t>
      </w:r>
      <w:hyperlink w:history="1" r:id="rIdegnknmmc7ugnsfxjfsibn">
        <w:r>
          <w:rPr>
            <w:rStyle w:val="Hyperlink"/>
          </w:rPr>
          <w:t xml:space="preserve">https://www.iata.org/en/programs/cargo/sustainability/carbon-footprint/</w:t>
        </w:r>
      </w:hyperlink>
    </w:p>
    <w:p>
      <w:pPr>
        <w:spacing w:after="160"/>
      </w:pPr>
      <w:r>
        <w:rPr>
          <w:i/>
          <w:iCs/>
        </w:rPr>
        <w:t xml:space="preserve">Scope 2 (facility electricity) is estimated at 2.5% of Scope 1, and Scope 3 (upstream supply chain) at 50% of Scope 1. These two allocation ratios are a documented project assumption based on typical industry ratios — they are not pulled from one specific named source the way the distance/factor calculation is, and should be described to reviewers as a reasonable modeling choice rather than a verified figure.</w:t>
      </w:r>
    </w:p>
    <w:p>
      <w:pPr>
        <w:spacing w:after="160"/>
      </w:pPr>
      <w:r>
        <w:t xml:space="preserve">Overstock_CO2e_kg applies an additional carbon penalty only to Late or At-Risk shipments (3.5% and 1.5% of shipment weight respectively), reflecting the extra emissions from re-routing and warehousing delay — this is the core CAPE thesis variable connecting late orders to carbon cost.</w:t>
      </w:r>
    </w:p>
    <w:p>
      <w:pPr>
        <w:shd w:val="clear" w:fill="EAF2FA"/>
      </w:pPr>
      <w:r>
        <w:rPr>
          <w:rFonts w:ascii="Arial" w:hAnsi="Arial"/>
          <w:b/>
        </w:rPr>
        <w:t xml:space="preserve">Important note on overstock and delivery status:  </w:t>
      </w:r>
      <w:r>
        <w:rPr>
          <w:rFonts w:ascii="Arial" w:hAnsi="Arial"/>
          <w:b w:val="0"/>
        </w:rPr>
        <w:t>Because Overstock_CO2e_kg is applied as a fixed penalty to shipments whose Delivery_Status was assigned rather than measured, the link between lateness and overstock carbon in this file is true by construction. Treat these overstock figures as an illustration of the CAPE mechanism, not as evidence that late orders statistically drive carbon. The empirical demonstration of overstock as a carbon source uses the ERPsim Carbon Emissions table, where overstock emissions are generated independently by the simulation.</w:t>
      </w:r>
    </w:p>
    <w:p>
      <w:pPr>
        <w:pStyle w:val="Heading2"/>
      </w:pPr>
      <w:r>
        <w:t xml:space="preserve">Sheet 2: LAWA_Annual_Validation — Real Data</w:t>
      </w:r>
    </w:p>
    <w:p>
      <w:pPr>
        <w:spacing w:after="160"/>
      </w:pPr>
      <w:r>
        <w:t xml:space="preserve">This sheet contains LAWA's own published airport-wide Scope 1/2/3 greenhouse gas emissions (in MTCO2e), 2013 baseline through 2022, provided as real-world validation context.</w:t>
      </w:r>
    </w:p>
    <w:p>
      <w:pPr>
        <w:spacing w:after="120"/>
      </w:pPr>
      <w:r>
        <w:rPr>
          <w:b/>
          <w:bCs/>
        </w:rPr>
        <w:t xml:space="preserve">Source: LAWA Sustainability Reports: </w:t>
      </w:r>
      <w:hyperlink w:history="1" r:id="rIdfbaxvvz00yl8bhdjrennt">
        <w:r>
          <w:rPr>
            <w:rStyle w:val="Hyperlink"/>
          </w:rPr>
          <w:t xml:space="preserve">https://www.lawa.org/lawa-sustainability</w:t>
        </w:r>
      </w:hyperlink>
    </w:p>
    <w:p>
      <w:pPr>
        <w:spacing w:after="160"/>
      </w:pPr>
      <w:r>
        <w:rPr>
          <w:i/>
          <w:iCs/>
        </w:rPr>
        <w:t xml:space="preserve">Important: these figures are airport-wide totals across all LAX/VNY operations (not cargo-specific), so they validate the order of magnitude and trend of LAX emissions but are not directly comparable row-by-row to the per-shipment Carbon_Emissions sheet.</w:t>
      </w:r>
    </w:p>
    <w:p>
      <w:pPr>
        <w:pStyle w:val="Heading1"/>
      </w:pPr>
      <w:r>
        <w:t xml:space="preserve">4. Summary: What's Real vs. What's Modeled</w:t>
      </w:r>
    </w:p>
    <w:p>
      <w:pPr>
        <w:spacing w:after="160"/>
      </w:pPr>
      <w:r>
        <w:t xml:space="preserve">For transparency with reviewers, here is a single reference table summarizing the provenance of each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E2D40" w:val="clear"/>
            <w:tcMar>
              <w:top w:type="dxa" w:w="80"/>
              <w:left w:type="dxa" w:w="120"/>
              <w:bottom w:type="dxa" w:w="80"/>
              <w:right w:type="dxa" w:w="120"/>
            </w:tcMar>
          </w:tcPr>
          <w:p>
            <w:r>
              <w:rPr>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1E2D40" w:val="clear"/>
            <w:tcMar>
              <w:top w:type="dxa" w:w="80"/>
              <w:left w:type="dxa" w:w="120"/>
              <w:bottom w:type="dxa" w:w="80"/>
              <w:right w:type="dxa" w:w="120"/>
            </w:tcMar>
          </w:tcPr>
          <w:p>
            <w:r>
              <w:rPr>
                <w:b/>
                <w:bCs/>
                <w:color w:val="FFFFFF"/>
                <w:sz w:val="20"/>
                <w:szCs w:val="20"/>
              </w:rPr>
              <w:t xml:space="preserve">Directly Sourced</w:t>
            </w:r>
          </w:p>
        </w:tc>
        <w:tc>
          <w:tcPr>
            <w:tcW w:type="dxa" w:w="2400"/>
            <w:tcBorders>
              <w:top w:val="single" w:color="CCCCCC" w:sz="1"/>
              <w:left w:val="single" w:color="CCCCCC" w:sz="1"/>
              <w:bottom w:val="single" w:color="CCCCCC" w:sz="1"/>
              <w:right w:val="single" w:color="CCCCCC" w:sz="1"/>
            </w:tcBorders>
            <w:shd w:fill="1E2D40" w:val="clear"/>
            <w:tcMar>
              <w:top w:type="dxa" w:w="80"/>
              <w:left w:type="dxa" w:w="120"/>
              <w:bottom w:type="dxa" w:w="80"/>
              <w:right w:type="dxa" w:w="120"/>
            </w:tcMar>
          </w:tcPr>
          <w:p>
            <w:r>
              <w:rPr>
                <w:b/>
                <w:bCs/>
                <w:color w:val="FFFFFF"/>
                <w:sz w:val="20"/>
                <w:szCs w:val="20"/>
              </w:rPr>
              <w:t xml:space="preserve">Calculated (documented formula)</w:t>
            </w:r>
          </w:p>
        </w:tc>
        <w:tc>
          <w:tcPr>
            <w:tcW w:type="dxa" w:w="2360"/>
            <w:tcBorders>
              <w:top w:val="single" w:color="CCCCCC" w:sz="1"/>
              <w:left w:val="single" w:color="CCCCCC" w:sz="1"/>
              <w:bottom w:val="single" w:color="CCCCCC" w:sz="1"/>
              <w:right w:val="single" w:color="CCCCCC" w:sz="1"/>
            </w:tcBorders>
            <w:shd w:fill="1E2D40" w:val="clear"/>
            <w:tcMar>
              <w:top w:type="dxa" w:w="80"/>
              <w:left w:type="dxa" w:w="120"/>
              <w:bottom w:type="dxa" w:w="80"/>
              <w:right w:type="dxa" w:w="120"/>
            </w:tcMar>
          </w:tcPr>
          <w:p>
            <w:r>
              <w:rPr>
                <w:b/>
                <w:bCs/>
                <w:color w:val="FFFFFF"/>
                <w:sz w:val="20"/>
                <w:szCs w:val="20"/>
              </w:rPr>
              <w:t xml:space="preserve">Representative/Assumed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Sales.xlsx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Tonnage, dates, domestic/intl split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Revenue, Cost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Carrier, product category, delivery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Prices.xlsx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International rate (FAX index)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Domestic rate (38% discount)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Weight-break assignment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Carbon Emissions.xlsx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Distance, LAWA annual totals (validation sheet)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Scope 1, overstock penalty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Scope 2/3 allocation ratios</w:t>
            </w:r>
          </w:p>
        </w:tc>
      </w:tr>
    </w:tbl>
    <w:p>
      <w:pPr>
        <w:spacing w:before="360"/>
      </w:pPr>
      <w:r>
        <w:rPr>
          <w:i/>
          <w:iCs/>
          <w:color w:val="666666"/>
          <w:sz w:val="20"/>
          <w:szCs w:val="20"/>
        </w:rPr>
        <w:t xml:space="preserve">This disclosure is intended to strengthen, not weaken, the project's credibility — NSF and SAP reviewers consistently respond better to honest methodology disclosure than to unverified precision.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B4D8" w:sz="6" w:space="4"/>
      </w:pBdr>
      <w:spacing w:after="200" w:before="360"/>
      <w:outlineLvl w:val="0"/>
    </w:pPr>
    <w:rPr>
      <w:rFonts w:ascii="Arial" w:cs="Arial" w:eastAsia="Arial" w:hAnsi="Arial"/>
      <w:b/>
      <w:bCs/>
      <w:color w:val="1E2D4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E2D4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ghzo_mjykmn57r3hktdz" Type="http://schemas.openxmlformats.org/officeDocument/2006/relationships/hyperlink" Target="https://data.lacity.org/Transportation/Los-Angeles-International-Airport-Air-Cargo-Volume/tx7r-x3hp" TargetMode="External"/><Relationship Id="rIdo4i7_ntadcnqtplyewrbt" Type="http://schemas.openxmlformats.org/officeDocument/2006/relationships/hyperlink" Target="https://www.freightos.com/freightos-air-index/" TargetMode="External"/><Relationship Id="rIdeuzpdh3rbwfwwdvl6-qpk" Type="http://schemas.openxmlformats.org/officeDocument/2006/relationships/hyperlink" Target="https://www.freightos.com/freightos-data-terms-conditions/" TargetMode="External"/><Relationship Id="rIdzry1y1vz5qpvbioguhs2d" Type="http://schemas.openxmlformats.org/officeDocument/2006/relationships/hyperlink" Target="https://icec.icao.int/" TargetMode="External"/><Relationship Id="rIdgww-7g4bwby5pb_nwl_rp" Type="http://schemas.openxmlformats.org/officeDocument/2006/relationships/hyperlink" Target="https://www.gov.uk/government/collections/government-conversion-factors-for-company-reporting" TargetMode="External"/><Relationship Id="rIdegnknmmc7ugnsfxjfsibn" Type="http://schemas.openxmlformats.org/officeDocument/2006/relationships/hyperlink" Target="https://www.iata.org/en/programs/cargo/sustainability/carbon-footprint/" TargetMode="External"/><Relationship Id="rIdfbaxvvz00yl8bhdjrennt" Type="http://schemas.openxmlformats.org/officeDocument/2006/relationships/hyperlink" Target="https://www.lawa.org/lawa-sustainability" TargetMode="External"/><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2026-06-18T02:17:18.447Z</dcterms:created>
  <dcterms:modified xsi:type="dcterms:W3CDTF">2026-06-18T02:17:18.447Z</dcterms:modified>
</cp:coreProperties>
</file>

<file path=docProps/custom.xml><?xml version="1.0" encoding="utf-8"?>
<Properties xmlns="http://schemas.openxmlformats.org/officeDocument/2006/custom-properties" xmlns:vt="http://schemas.openxmlformats.org/officeDocument/2006/docPropsVTypes"/>
</file>