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926A" w14:textId="77777777" w:rsidR="00E843CD" w:rsidRDefault="00E843CD">
      <w:pPr>
        <w:pStyle w:val="1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飞鸟快验网络系统</w:t>
      </w:r>
    </w:p>
    <w:p w14:paraId="612D9A23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程序设计说明书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6727"/>
      </w:tblGrid>
      <w:tr w:rsidR="00000000" w14:paraId="0C81CBB6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D7F224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软件名称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153F244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飞鸟快验网络系统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[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简称：飞鸟快验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]</w:t>
            </w:r>
          </w:p>
        </w:tc>
      </w:tr>
      <w:tr w:rsidR="00000000" w14:paraId="2A9717EC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A70B0A6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版本号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035CA1B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V1.0.449</w:t>
            </w:r>
          </w:p>
        </w:tc>
      </w:tr>
      <w:tr w:rsidR="00000000" w14:paraId="7E31A7D9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17D6F5D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文档编号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4425EE3E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FNKY-DS-449-BZ</w:t>
            </w:r>
          </w:p>
        </w:tc>
      </w:tr>
      <w:tr w:rsidR="00000000" w14:paraId="5E25750E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20127A4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文档用途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15AA981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计算机软件著作权登记补正用程序设计说明文档</w:t>
            </w:r>
          </w:p>
        </w:tc>
      </w:tr>
      <w:tr w:rsidR="00000000" w14:paraId="70BD9B2F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E0886F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申请人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82E3BED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金普新区友谊街道雪小果网络科技工作室</w:t>
            </w:r>
          </w:p>
        </w:tc>
      </w:tr>
      <w:tr w:rsidR="00000000" w14:paraId="6DE37564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4F73AB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编制日期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B94FE10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2026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年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7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月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22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日</w:t>
            </w:r>
          </w:p>
        </w:tc>
      </w:tr>
    </w:tbl>
    <w:p w14:paraId="4A1B6567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1. </w:t>
      </w:r>
      <w:r>
        <w:rPr>
          <w:rFonts w:ascii="微软雅黑" w:eastAsia="微软雅黑" w:hAnsi="微软雅黑" w:hint="eastAsia"/>
          <w:color w:val="111111"/>
        </w:rPr>
        <w:t>编写目的</w:t>
      </w:r>
    </w:p>
    <w:p w14:paraId="180E05CC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本文档用于说明“飞鸟快验网络系统</w:t>
      </w:r>
      <w:r>
        <w:rPr>
          <w:rFonts w:ascii="微软雅黑" w:eastAsia="微软雅黑" w:hAnsi="微软雅黑" w:hint="eastAsia"/>
          <w:color w:val="111111"/>
        </w:rPr>
        <w:t xml:space="preserve"> V1.0.449</w:t>
      </w:r>
      <w:r>
        <w:rPr>
          <w:rFonts w:ascii="微软雅黑" w:eastAsia="微软雅黑" w:hAnsi="微软雅黑" w:hint="eastAsia"/>
          <w:color w:val="111111"/>
        </w:rPr>
        <w:t>”的程序组成、核心业务流程、模块边界、数据结构、接口设计及运行机制。与通用模板式说明不同，本文档仅围绕本软件实际实现展开，重点描述网络验证、单账号多应用、卡号直充、支付订单、代理库存、</w:t>
      </w:r>
      <w:r>
        <w:rPr>
          <w:rFonts w:ascii="微软雅黑" w:eastAsia="微软雅黑" w:hAnsi="微软雅黑" w:hint="eastAsia"/>
          <w:color w:val="111111"/>
        </w:rPr>
        <w:t xml:space="preserve">CPS </w:t>
      </w:r>
      <w:r>
        <w:rPr>
          <w:rFonts w:ascii="微软雅黑" w:eastAsia="微软雅黑" w:hAnsi="微软雅黑" w:hint="eastAsia"/>
          <w:color w:val="111111"/>
        </w:rPr>
        <w:t>推广、营销签到、云函数扩展、任务池处理以及</w:t>
      </w:r>
      <w:r>
        <w:rPr>
          <w:rFonts w:ascii="微软雅黑" w:eastAsia="微软雅黑" w:hAnsi="微软雅黑" w:hint="eastAsia"/>
          <w:color w:val="111111"/>
        </w:rPr>
        <w:t xml:space="preserve"> VMP </w:t>
      </w:r>
      <w:r>
        <w:rPr>
          <w:rFonts w:ascii="微软雅黑" w:eastAsia="微软雅黑" w:hAnsi="微软雅黑" w:hint="eastAsia"/>
          <w:color w:val="111111"/>
        </w:rPr>
        <w:t>一机一码授权等专属能力。</w:t>
      </w:r>
    </w:p>
    <w:p w14:paraId="6D0133BB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本文档的直接用途包括：一是作为软件著作权登记补正时的文档鉴别材料；二是作为开发、维护、问题排查和版本迭代时的技术依据；三是为后续二次开发、对接支付通道、扩展业务活动提供程序层面的参考。</w:t>
      </w:r>
    </w:p>
    <w:p w14:paraId="622A77DB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 xml:space="preserve">2. </w:t>
      </w:r>
      <w:r>
        <w:rPr>
          <w:rFonts w:ascii="微软雅黑" w:eastAsia="微软雅黑" w:hAnsi="微软雅黑" w:hint="eastAsia"/>
          <w:color w:val="111111"/>
        </w:rPr>
        <w:t>软件定位与功能边界</w:t>
      </w:r>
    </w:p>
    <w:p w14:paraId="1244EE31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飞鸟快验网络系统是一套面向软件授权和运营场景的后台系统。它不是单一的登录接口程序，而是同时提供管理后台、代理后台、</w:t>
      </w:r>
      <w:r>
        <w:rPr>
          <w:rFonts w:ascii="微软雅黑" w:eastAsia="微软雅黑" w:hAnsi="微软雅黑" w:hint="eastAsia"/>
          <w:color w:val="111111"/>
        </w:rPr>
        <w:t xml:space="preserve">WebApi </w:t>
      </w:r>
      <w:r>
        <w:rPr>
          <w:rFonts w:ascii="微软雅黑" w:eastAsia="微软雅黑" w:hAnsi="微软雅黑" w:hint="eastAsia"/>
          <w:color w:val="111111"/>
        </w:rPr>
        <w:t>授权接口、</w:t>
      </w:r>
      <w:r>
        <w:rPr>
          <w:rFonts w:ascii="微软雅黑" w:eastAsia="微软雅黑" w:hAnsi="微软雅黑" w:hint="eastAsia"/>
          <w:color w:val="111111"/>
        </w:rPr>
        <w:t xml:space="preserve">Web </w:t>
      </w:r>
      <w:r>
        <w:rPr>
          <w:rFonts w:ascii="微软雅黑" w:eastAsia="微软雅黑" w:hAnsi="微软雅黑" w:hint="eastAsia"/>
          <w:color w:val="111111"/>
        </w:rPr>
        <w:t>用户中心和</w:t>
      </w:r>
      <w:r>
        <w:rPr>
          <w:rFonts w:ascii="微软雅黑" w:eastAsia="微软雅黑" w:hAnsi="微软雅黑" w:hint="eastAsia"/>
          <w:color w:val="111111"/>
        </w:rPr>
        <w:t xml:space="preserve"> WebSocket </w:t>
      </w:r>
      <w:r>
        <w:rPr>
          <w:rFonts w:ascii="微软雅黑" w:eastAsia="微软雅黑" w:hAnsi="微软雅黑" w:hint="eastAsia"/>
          <w:color w:val="111111"/>
        </w:rPr>
        <w:t>实时能力的完整业务平台。系统服务对象包括软件运营方、代理商、终端软件用户及接入本平台的客户端程序。</w:t>
      </w:r>
    </w:p>
    <w:p w14:paraId="79729B46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围绕“用户账号、应用配置、软件用户、卡类卡号、支付订单、代理库存、推广关系、营销活动、扩展脚本”这九类核心对象工作。平台既支持软件作者使用账号验证方式向用户发放授权，也支持采用卡号、充值、续费、积分、余额等多种组合模式进行商业化运营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182"/>
        <w:gridCol w:w="5407"/>
      </w:tblGrid>
      <w:tr w:rsidR="00000000" w14:paraId="377DC198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CBBC597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业务域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A9800C2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核心能力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461D039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对应代码区域</w:t>
            </w:r>
          </w:p>
        </w:tc>
      </w:tr>
      <w:tr w:rsidR="00000000" w14:paraId="77D415F2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E78C87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管理后台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AAFA52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管理员登录、系统设置、应用配置、用户与日志管理、财务与统计图表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F5F588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`new/app/controller/admin`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`new/app/router/admin`</w:t>
            </w:r>
          </w:p>
        </w:tc>
      </w:tr>
      <w:tr w:rsidR="00000000" w14:paraId="132DF6BF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E5ADC21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代理体系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EBB912B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代理账号、库存包、代收款、下级发展、代理日志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CBCD46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`new/app/controller/agent`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`new/app/logic/common/agent`</w:t>
            </w:r>
          </w:p>
        </w:tc>
      </w:tr>
      <w:tr w:rsidR="00000000" w14:paraId="0CD4EC41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55FCA1D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授权接口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6D99460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WebApi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鉴权、软件用户登录、续费、取配置、支付回调、任务池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41DF88D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`new/app/router/webApi2`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`new/app/controller/webApi`</w:t>
            </w:r>
          </w:p>
        </w:tc>
      </w:tr>
      <w:tr w:rsidR="00000000" w14:paraId="5580859F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F782179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营销与用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户中心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EA91113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 xml:space="preserve">CPS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推广、签到积分、短链、活动页面、订单查看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700D1E1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`new/app/controller/webUser`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`new/app/logic/webUser`</w:t>
            </w:r>
          </w:p>
        </w:tc>
      </w:tr>
      <w:tr w:rsidR="00000000" w14:paraId="0CB84637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E92F94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支付与财务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77214CD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多通道支付、代收款、退款、余额支付、订单状态流转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E94C78D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`new/app/logic/common/rmbPay`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`new/app/service/S_PayOrder.go`</w:t>
            </w:r>
          </w:p>
        </w:tc>
      </w:tr>
      <w:tr w:rsidR="00000000" w14:paraId="7E37A07F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46A653B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卡号与授权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0BA333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卡类配置、制卡、批量制卡、卡号充值、卡号直充、授权转换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24BBA52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`new/app/logic/common/ka`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`new/app/controller/admin/KaFull.go`</w:t>
            </w:r>
          </w:p>
        </w:tc>
      </w:tr>
      <w:tr w:rsidR="00000000" w14:paraId="65562015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71517A2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一机一码授权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F38601E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VMP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授权码计算、机器码绑定、授权数据封装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70CC3690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`new/app/logic/common/VMP/VMP.go`</w:t>
            </w:r>
          </w:p>
        </w:tc>
      </w:tr>
      <w:tr w:rsidR="00000000" w14:paraId="214403E5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419A384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扩展机制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6A2C94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公共变量、公共函数、云函数、定时任务、任务池、云存储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E10B030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`Service/Ser_Js`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`new/app/controller/admin/PublicJs.go`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`new/app/logic/common/cron`</w:t>
            </w:r>
          </w:p>
        </w:tc>
      </w:tr>
    </w:tbl>
    <w:p w14:paraId="49563598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 </w:t>
      </w:r>
      <w:r>
        <w:rPr>
          <w:rFonts w:ascii="微软雅黑" w:eastAsia="微软雅黑" w:hAnsi="微软雅黑" w:hint="eastAsia"/>
          <w:color w:val="111111"/>
        </w:rPr>
        <w:t>总体架构设计</w:t>
      </w:r>
    </w:p>
    <w:p w14:paraId="0B52D40D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3.1 </w:t>
      </w:r>
      <w:r>
        <w:rPr>
          <w:rFonts w:ascii="微软雅黑" w:eastAsia="微软雅黑" w:hAnsi="微软雅黑" w:hint="eastAsia"/>
          <w:color w:val="111111"/>
        </w:rPr>
        <w:t>架构概览</w:t>
      </w:r>
    </w:p>
    <w:p w14:paraId="039DA34F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系统采用</w:t>
      </w:r>
      <w:r>
        <w:rPr>
          <w:rFonts w:ascii="微软雅黑" w:eastAsia="微软雅黑" w:hAnsi="微软雅黑" w:hint="eastAsia"/>
          <w:color w:val="111111"/>
        </w:rPr>
        <w:t xml:space="preserve"> Go </w:t>
      </w:r>
      <w:r>
        <w:rPr>
          <w:rFonts w:ascii="微软雅黑" w:eastAsia="微软雅黑" w:hAnsi="微软雅黑" w:hint="eastAsia"/>
          <w:color w:val="111111"/>
        </w:rPr>
        <w:t>语言实现后端核心逻辑，</w:t>
      </w:r>
      <w:r>
        <w:rPr>
          <w:rFonts w:ascii="微软雅黑" w:eastAsia="微软雅黑" w:hAnsi="微软雅黑" w:hint="eastAsia"/>
          <w:color w:val="111111"/>
        </w:rPr>
        <w:t xml:space="preserve">Gin </w:t>
      </w:r>
      <w:r>
        <w:rPr>
          <w:rFonts w:ascii="微软雅黑" w:eastAsia="微软雅黑" w:hAnsi="微软雅黑" w:hint="eastAsia"/>
          <w:color w:val="111111"/>
        </w:rPr>
        <w:t>作为</w:t>
      </w:r>
      <w:r>
        <w:rPr>
          <w:rFonts w:ascii="微软雅黑" w:eastAsia="微软雅黑" w:hAnsi="微软雅黑" w:hint="eastAsia"/>
          <w:color w:val="111111"/>
        </w:rPr>
        <w:t xml:space="preserve"> HTTP </w:t>
      </w:r>
      <w:r>
        <w:rPr>
          <w:rFonts w:ascii="微软雅黑" w:eastAsia="微软雅黑" w:hAnsi="微软雅黑" w:hint="eastAsia"/>
          <w:color w:val="111111"/>
        </w:rPr>
        <w:t>路由和请求处理框架，</w:t>
      </w:r>
      <w:r>
        <w:rPr>
          <w:rFonts w:ascii="微软雅黑" w:eastAsia="微软雅黑" w:hAnsi="微软雅黑" w:hint="eastAsia"/>
          <w:color w:val="111111"/>
        </w:rPr>
        <w:t xml:space="preserve">Gorm </w:t>
      </w:r>
      <w:r>
        <w:rPr>
          <w:rFonts w:ascii="微软雅黑" w:eastAsia="微软雅黑" w:hAnsi="微软雅黑" w:hint="eastAsia"/>
          <w:color w:val="111111"/>
        </w:rPr>
        <w:t>负责数据持久化，</w:t>
      </w:r>
      <w:r>
        <w:rPr>
          <w:rFonts w:ascii="微软雅黑" w:eastAsia="微软雅黑" w:hAnsi="微软雅黑" w:hint="eastAsia"/>
          <w:color w:val="111111"/>
        </w:rPr>
        <w:t xml:space="preserve">Viper </w:t>
      </w:r>
      <w:r>
        <w:rPr>
          <w:rFonts w:ascii="微软雅黑" w:eastAsia="微软雅黑" w:hAnsi="微软雅黑" w:hint="eastAsia"/>
          <w:color w:val="111111"/>
        </w:rPr>
        <w:t>管理运行配置，</w:t>
      </w:r>
      <w:r>
        <w:rPr>
          <w:rFonts w:ascii="微软雅黑" w:eastAsia="微软雅黑" w:hAnsi="微软雅黑" w:hint="eastAsia"/>
          <w:color w:val="111111"/>
        </w:rPr>
        <w:t xml:space="preserve">Zap </w:t>
      </w:r>
      <w:r>
        <w:rPr>
          <w:rFonts w:ascii="微软雅黑" w:eastAsia="微软雅黑" w:hAnsi="微软雅黑" w:hint="eastAsia"/>
          <w:color w:val="111111"/>
        </w:rPr>
        <w:t>管理日志输出。前端采用前后端分离模式，管理端与代理端编译后的静态资源嵌入到服务端发布包内，由服务端直接输出。</w:t>
      </w:r>
    </w:p>
    <w:p w14:paraId="518EC419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从运行视角看，飞鸟快验不是单一入口程序，而是一个聚合型服务容器。服务启动后，会同时初始化配置、日志、缓存、数据库连接、业务路由、定时任务和快验相关的内部状态，然后分别对外暴露管理入口、代理入口、</w:t>
      </w:r>
      <w:r>
        <w:rPr>
          <w:rFonts w:ascii="微软雅黑" w:eastAsia="微软雅黑" w:hAnsi="微软雅黑" w:hint="eastAsia"/>
          <w:color w:val="111111"/>
        </w:rPr>
        <w:t xml:space="preserve">WebApi </w:t>
      </w:r>
      <w:r>
        <w:rPr>
          <w:rFonts w:ascii="微软雅黑" w:eastAsia="微软雅黑" w:hAnsi="微软雅黑" w:hint="eastAsia"/>
          <w:color w:val="111111"/>
        </w:rPr>
        <w:t>接口和</w:t>
      </w:r>
      <w:r>
        <w:rPr>
          <w:rFonts w:ascii="微软雅黑" w:eastAsia="微软雅黑" w:hAnsi="微软雅黑" w:hint="eastAsia"/>
          <w:color w:val="111111"/>
        </w:rPr>
        <w:t xml:space="preserve"> Web </w:t>
      </w:r>
      <w:r>
        <w:rPr>
          <w:rFonts w:ascii="微软雅黑" w:eastAsia="微软雅黑" w:hAnsi="微软雅黑" w:hint="eastAsia"/>
          <w:color w:val="111111"/>
        </w:rPr>
        <w:t>用户入口。</w:t>
      </w:r>
    </w:p>
    <w:p w14:paraId="6D05C7F9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lastRenderedPageBreak/>
        <w:t>客户端软件</w:t>
      </w:r>
      <w:r>
        <w:rPr>
          <w:color w:val="111111"/>
        </w:rPr>
        <w:t xml:space="preserve"> / </w:t>
      </w:r>
      <w:r>
        <w:rPr>
          <w:color w:val="111111"/>
        </w:rPr>
        <w:t>管理后台</w:t>
      </w:r>
      <w:r>
        <w:rPr>
          <w:color w:val="111111"/>
        </w:rPr>
        <w:t xml:space="preserve"> / </w:t>
      </w:r>
      <w:r>
        <w:rPr>
          <w:color w:val="111111"/>
        </w:rPr>
        <w:t>代理后台</w:t>
      </w:r>
      <w:r>
        <w:rPr>
          <w:color w:val="111111"/>
        </w:rPr>
        <w:t xml:space="preserve"> / Web</w:t>
      </w:r>
      <w:r>
        <w:rPr>
          <w:color w:val="111111"/>
        </w:rPr>
        <w:t>用户中心</w:t>
      </w:r>
    </w:p>
    <w:p w14:paraId="11D593F2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       │</w:t>
      </w:r>
    </w:p>
    <w:p w14:paraId="49996163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       ▼</w:t>
      </w:r>
    </w:p>
    <w:p w14:paraId="1C39EED4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  Gin </w:t>
      </w:r>
      <w:r>
        <w:rPr>
          <w:color w:val="111111"/>
        </w:rPr>
        <w:t>路由层</w:t>
      </w:r>
    </w:p>
    <w:p w14:paraId="758C0903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┌────────────┬────────────┬────────────┬────────────┐</w:t>
      </w:r>
    </w:p>
    <w:p w14:paraId="1842BBAB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│ Admin      │ Agent      │ WebApi     │ WebUser    │</w:t>
      </w:r>
    </w:p>
    <w:p w14:paraId="53264119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└────────────┴────────────┴────────────┴────────────┘</w:t>
      </w:r>
    </w:p>
    <w:p w14:paraId="7D9C3BD6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       │</w:t>
      </w:r>
    </w:p>
    <w:p w14:paraId="6DB08630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       ▼</w:t>
      </w:r>
    </w:p>
    <w:p w14:paraId="2818CC9C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Controller / Middleware</w:t>
      </w:r>
    </w:p>
    <w:p w14:paraId="5A6E492C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       │</w:t>
      </w:r>
    </w:p>
    <w:p w14:paraId="53FA0848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       ▼</w:t>
      </w:r>
    </w:p>
    <w:p w14:paraId="3A1C9031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Logic / Service / SDK</w:t>
      </w:r>
    </w:p>
    <w:p w14:paraId="74D48010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       │</w:t>
      </w:r>
    </w:p>
    <w:p w14:paraId="1741E4F8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               ▼</w:t>
      </w:r>
    </w:p>
    <w:p w14:paraId="55F9BB02" w14:textId="77777777" w:rsidR="00E843CD" w:rsidRDefault="00E843CD">
      <w:pPr>
        <w:pStyle w:val="HTML"/>
        <w:rPr>
          <w:rFonts w:hint="eastAsia"/>
          <w:color w:val="111111"/>
        </w:rPr>
      </w:pPr>
      <w:r>
        <w:rPr>
          <w:color w:val="111111"/>
        </w:rPr>
        <w:t xml:space="preserve">      MySQL / </w:t>
      </w:r>
      <w:r>
        <w:rPr>
          <w:color w:val="111111"/>
        </w:rPr>
        <w:t>本地缓存</w:t>
      </w:r>
      <w:r>
        <w:rPr>
          <w:color w:val="111111"/>
        </w:rPr>
        <w:t xml:space="preserve"> / </w:t>
      </w:r>
      <w:r>
        <w:rPr>
          <w:color w:val="111111"/>
        </w:rPr>
        <w:t>定时任务</w:t>
      </w:r>
      <w:r>
        <w:rPr>
          <w:color w:val="111111"/>
        </w:rPr>
        <w:t xml:space="preserve"> / </w:t>
      </w:r>
      <w:r>
        <w:rPr>
          <w:color w:val="111111"/>
        </w:rPr>
        <w:t>云函数</w:t>
      </w:r>
    </w:p>
    <w:p w14:paraId="68882F6A" w14:textId="77777777" w:rsidR="00E843CD" w:rsidRDefault="00E843CD">
      <w:pPr>
        <w:pStyle w:val="2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3.2 </w:t>
      </w:r>
      <w:r>
        <w:rPr>
          <w:rFonts w:ascii="微软雅黑" w:eastAsia="微软雅黑" w:hAnsi="微软雅黑" w:hint="eastAsia"/>
          <w:color w:val="111111"/>
        </w:rPr>
        <w:t>路由分域设计</w:t>
      </w:r>
    </w:p>
    <w:p w14:paraId="4B8FE0BB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系统在</w:t>
      </w:r>
      <w:r>
        <w:rPr>
          <w:rFonts w:ascii="微软雅黑" w:eastAsia="微软雅黑" w:hAnsi="微软雅黑" w:hint="eastAsia"/>
          <w:color w:val="111111"/>
        </w:rPr>
        <w:t xml:space="preserve"> `new/app/router/Route.go` </w:t>
      </w:r>
      <w:r>
        <w:rPr>
          <w:rFonts w:ascii="微软雅黑" w:eastAsia="微软雅黑" w:hAnsi="微软雅黑" w:hint="eastAsia"/>
          <w:color w:val="111111"/>
        </w:rPr>
        <w:t>中统一挂载路由，并按业务对象拆分为</w:t>
      </w:r>
      <w:r>
        <w:rPr>
          <w:rFonts w:ascii="微软雅黑" w:eastAsia="微软雅黑" w:hAnsi="微软雅黑" w:hint="eastAsia"/>
          <w:color w:val="111111"/>
        </w:rPr>
        <w:t xml:space="preserve"> `admin`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`agent`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`webApi2`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`webUser`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 xml:space="preserve">`webSocket` </w:t>
      </w:r>
      <w:r>
        <w:rPr>
          <w:rFonts w:ascii="微软雅黑" w:eastAsia="微软雅黑" w:hAnsi="微软雅黑" w:hint="eastAsia"/>
          <w:color w:val="111111"/>
        </w:rPr>
        <w:t>五组子路由。这样做的目的不是代码形式上的分类，而是将“后台运营、代理运营、授权接口、终端用户、自定义实时功能”明确隔离，避免不同调用方混用同一套权限校验和返回协议。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3982"/>
        <w:gridCol w:w="2929"/>
      </w:tblGrid>
      <w:tr w:rsidR="00000000" w14:paraId="1E8C92F8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9AD3D00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路由组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60A0563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典型用途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97D7F62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主要中间件</w:t>
            </w:r>
          </w:p>
        </w:tc>
      </w:tr>
      <w:tr w:rsidR="00000000" w14:paraId="3B90847E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1EEE8B2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561BBC6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后台页面资源、管理员登录、系统级配置与维护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16D5CDD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管理员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 Token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、飞鸟快验状态校验</w:t>
            </w:r>
          </w:p>
        </w:tc>
      </w:tr>
      <w:tr w:rsidR="00000000" w14:paraId="1CEA5C3B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237B96E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Agent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ED17AC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代理业务、库存、提现、代理日志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55F87D1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代理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 Token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、功能权限校验</w:t>
            </w:r>
          </w:p>
        </w:tc>
      </w:tr>
      <w:tr w:rsidR="00000000" w14:paraId="04388537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5E10E36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WebApi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5EB121A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供客户端软件调用的授权、支付、任务池、公共变量接口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62212D0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域名校验、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WebApi Token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、接口解密</w:t>
            </w:r>
          </w:p>
        </w:tc>
      </w:tr>
      <w:tr w:rsidR="00000000" w14:paraId="1721689B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75B45A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WebUser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38CEE9D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面向终端用户的注册、登录、续费、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CPS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、签到活动页面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0AAE509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登录态校验、应用上下文校验</w:t>
            </w:r>
          </w:p>
        </w:tc>
      </w:tr>
      <w:tr w:rsidR="00000000" w14:paraId="3113A792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77B6D01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WebSocket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B59A44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长连接通信、实时状态同步或消息下发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7900DC63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连接身份识别</w:t>
            </w:r>
          </w:p>
        </w:tc>
      </w:tr>
    </w:tbl>
    <w:p w14:paraId="5A104B34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3.3 </w:t>
      </w:r>
      <w:r>
        <w:rPr>
          <w:rFonts w:ascii="微软雅黑" w:eastAsia="微软雅黑" w:hAnsi="微软雅黑" w:hint="eastAsia"/>
          <w:color w:val="111111"/>
        </w:rPr>
        <w:t>分层设计</w:t>
      </w:r>
    </w:p>
    <w:p w14:paraId="3E21E873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本系统的后端实现并非简单的“控制器直连数据库”，而是形成了较明确的分层：</w:t>
      </w:r>
    </w:p>
    <w:p w14:paraId="35DF6675" w14:textId="77777777" w:rsidR="00E843CD" w:rsidRDefault="00E843CD">
      <w:pPr>
        <w:numPr>
          <w:ilvl w:val="0"/>
          <w:numId w:val="1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Router </w:t>
      </w:r>
      <w:r>
        <w:rPr>
          <w:rFonts w:ascii="微软雅黑" w:eastAsia="微软雅黑" w:hAnsi="微软雅黑" w:hint="eastAsia"/>
          <w:color w:val="111111"/>
        </w:rPr>
        <w:t>层负责</w:t>
      </w:r>
      <w:r>
        <w:rPr>
          <w:rFonts w:ascii="微软雅黑" w:eastAsia="微软雅黑" w:hAnsi="微软雅黑" w:hint="eastAsia"/>
          <w:color w:val="111111"/>
        </w:rPr>
        <w:t xml:space="preserve"> URL </w:t>
      </w:r>
      <w:r>
        <w:rPr>
          <w:rFonts w:ascii="微软雅黑" w:eastAsia="微软雅黑" w:hAnsi="微软雅黑" w:hint="eastAsia"/>
          <w:color w:val="111111"/>
        </w:rPr>
        <w:t>绑定、路由分域和接口分发。</w:t>
      </w:r>
    </w:p>
    <w:p w14:paraId="566A78CF" w14:textId="77777777" w:rsidR="00E843CD" w:rsidRDefault="00E843CD">
      <w:pPr>
        <w:numPr>
          <w:ilvl w:val="0"/>
          <w:numId w:val="1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Middleware </w:t>
      </w:r>
      <w:r>
        <w:rPr>
          <w:rFonts w:ascii="微软雅黑" w:eastAsia="微软雅黑" w:hAnsi="微软雅黑" w:hint="eastAsia"/>
          <w:color w:val="111111"/>
        </w:rPr>
        <w:t>层负责</w:t>
      </w:r>
      <w:r>
        <w:rPr>
          <w:rFonts w:ascii="微软雅黑" w:eastAsia="微软雅黑" w:hAnsi="微软雅黑" w:hint="eastAsia"/>
          <w:color w:val="111111"/>
        </w:rPr>
        <w:t xml:space="preserve"> Token</w:t>
      </w:r>
      <w:r>
        <w:rPr>
          <w:rFonts w:ascii="微软雅黑" w:eastAsia="微软雅黑" w:hAnsi="微软雅黑" w:hint="eastAsia"/>
          <w:color w:val="111111"/>
        </w:rPr>
        <w:t>、域名、</w:t>
      </w:r>
      <w:r>
        <w:rPr>
          <w:rFonts w:ascii="微软雅黑" w:eastAsia="微软雅黑" w:hAnsi="微软雅黑" w:hint="eastAsia"/>
          <w:color w:val="111111"/>
        </w:rPr>
        <w:t>Host</w:t>
      </w:r>
      <w:r>
        <w:rPr>
          <w:rFonts w:ascii="微软雅黑" w:eastAsia="微软雅黑" w:hAnsi="微软雅黑" w:hint="eastAsia"/>
          <w:color w:val="111111"/>
        </w:rPr>
        <w:t>、飞鸟快验状态、接口解密等统一校验。</w:t>
      </w:r>
    </w:p>
    <w:p w14:paraId="4DA98307" w14:textId="77777777" w:rsidR="00E843CD" w:rsidRDefault="00E843CD">
      <w:pPr>
        <w:numPr>
          <w:ilvl w:val="0"/>
          <w:numId w:val="1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Controller </w:t>
      </w:r>
      <w:r>
        <w:rPr>
          <w:rFonts w:ascii="微软雅黑" w:eastAsia="微软雅黑" w:hAnsi="微软雅黑" w:hint="eastAsia"/>
          <w:color w:val="111111"/>
        </w:rPr>
        <w:t>层负责参数接收、请求编排和响应格式统一。</w:t>
      </w:r>
    </w:p>
    <w:p w14:paraId="7B14779C" w14:textId="77777777" w:rsidR="00E843CD" w:rsidRDefault="00E843CD">
      <w:pPr>
        <w:numPr>
          <w:ilvl w:val="0"/>
          <w:numId w:val="1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Logic </w:t>
      </w:r>
      <w:r>
        <w:rPr>
          <w:rFonts w:ascii="微软雅黑" w:eastAsia="微软雅黑" w:hAnsi="微软雅黑" w:hint="eastAsia"/>
          <w:color w:val="111111"/>
        </w:rPr>
        <w:t>层负责核心业务运算，例如订单创建、卡号直充、</w:t>
      </w:r>
      <w:r>
        <w:rPr>
          <w:rFonts w:ascii="微软雅黑" w:eastAsia="微软雅黑" w:hAnsi="微软雅黑" w:hint="eastAsia"/>
          <w:color w:val="111111"/>
        </w:rPr>
        <w:t xml:space="preserve">VMP </w:t>
      </w:r>
      <w:r>
        <w:rPr>
          <w:rFonts w:ascii="微软雅黑" w:eastAsia="微软雅黑" w:hAnsi="微软雅黑" w:hint="eastAsia"/>
          <w:color w:val="111111"/>
        </w:rPr>
        <w:t>授权码计算、活动逻辑处理。</w:t>
      </w:r>
    </w:p>
    <w:p w14:paraId="5B3D943B" w14:textId="77777777" w:rsidR="00E843CD" w:rsidRDefault="00E843CD">
      <w:pPr>
        <w:numPr>
          <w:ilvl w:val="0"/>
          <w:numId w:val="1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Service </w:t>
      </w:r>
      <w:r>
        <w:rPr>
          <w:rFonts w:ascii="微软雅黑" w:eastAsia="微软雅黑" w:hAnsi="微软雅黑" w:hint="eastAsia"/>
          <w:color w:val="111111"/>
        </w:rPr>
        <w:t>层负责数据库对象级操作及通用增删改查封装。</w:t>
      </w:r>
    </w:p>
    <w:p w14:paraId="646C7F50" w14:textId="77777777" w:rsidR="00E843CD" w:rsidRDefault="00E843CD">
      <w:pPr>
        <w:numPr>
          <w:ilvl w:val="0"/>
          <w:numId w:val="1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Models </w:t>
      </w:r>
      <w:r>
        <w:rPr>
          <w:rFonts w:ascii="微软雅黑" w:eastAsia="微软雅黑" w:hAnsi="微软雅黑" w:hint="eastAsia"/>
          <w:color w:val="111111"/>
        </w:rPr>
        <w:t>层负责数据库结构体、请求响应体、常量定义。</w:t>
      </w:r>
    </w:p>
    <w:p w14:paraId="315CFEC6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当前代码中同时存在</w:t>
      </w:r>
      <w:r>
        <w:rPr>
          <w:rFonts w:ascii="微软雅黑" w:eastAsia="微软雅黑" w:hAnsi="微软雅黑" w:hint="eastAsia"/>
          <w:color w:val="111111"/>
        </w:rPr>
        <w:t xml:space="preserve"> `api/`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 xml:space="preserve">`Service/` </w:t>
      </w:r>
      <w:r>
        <w:rPr>
          <w:rFonts w:ascii="微软雅黑" w:eastAsia="微软雅黑" w:hAnsi="微软雅黑" w:hint="eastAsia"/>
          <w:color w:val="111111"/>
        </w:rPr>
        <w:t>与</w:t>
      </w:r>
      <w:r>
        <w:rPr>
          <w:rFonts w:ascii="微软雅黑" w:eastAsia="微软雅黑" w:hAnsi="微软雅黑" w:hint="eastAsia"/>
          <w:color w:val="111111"/>
        </w:rPr>
        <w:t xml:space="preserve"> `new/app/` </w:t>
      </w:r>
      <w:r>
        <w:rPr>
          <w:rFonts w:ascii="微软雅黑" w:eastAsia="微软雅黑" w:hAnsi="微软雅黑" w:hint="eastAsia"/>
          <w:color w:val="111111"/>
        </w:rPr>
        <w:t>三套目录，反映了系统从早期结构向新结构演进的过程。补正材料保留这一事实，因为这恰恰体现出本软件在持续迭代过程中形成的真实工程组织，而不是拼凑的示例项目。</w:t>
      </w:r>
    </w:p>
    <w:p w14:paraId="57A6BC2F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 xml:space="preserve">4. </w:t>
      </w:r>
      <w:r>
        <w:rPr>
          <w:rFonts w:ascii="微软雅黑" w:eastAsia="微软雅黑" w:hAnsi="微软雅黑" w:hint="eastAsia"/>
          <w:color w:val="111111"/>
        </w:rPr>
        <w:t>程序目录与模块组织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5388"/>
      </w:tblGrid>
      <w:tr w:rsidR="00000000" w14:paraId="5CFEF445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28E3124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目录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3FFF24B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说明</w:t>
            </w:r>
          </w:p>
        </w:tc>
      </w:tr>
      <w:tr w:rsidR="00000000" w14:paraId="1929DE5C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BEDF0C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`main.go`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23AE9D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程序启动入口，负责全局异常捕获、配置加载、数据库初始化、定时任务启动和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 Web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服务启动。</w:t>
            </w:r>
          </w:p>
        </w:tc>
      </w:tr>
      <w:tr w:rsidR="00000000" w14:paraId="532DA90E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76442F8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`core/`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0E16D5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基础初始化层，包含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 Viper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配置、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Zap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日志、数据库初始化、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Gin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路由装配等基础设施。</w:t>
            </w:r>
          </w:p>
        </w:tc>
      </w:tr>
      <w:tr w:rsidR="00000000" w14:paraId="5133A753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9BB6C3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`new/app/router/`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4633EDB9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按调用端划分的五类路由注册代码，是系统多入口能力的统一装配层。</w:t>
            </w:r>
          </w:p>
        </w:tc>
      </w:tr>
      <w:tr w:rsidR="00000000" w14:paraId="58B53B0F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45A7022E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`new/app/controller/`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30B6F2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后台、代理、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WebApi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WebUser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等控制器代码，体现具体业务菜单与接口集合。</w:t>
            </w:r>
          </w:p>
        </w:tc>
      </w:tr>
      <w:tr w:rsidR="00000000" w14:paraId="3DC94BB0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BA79840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`new/app/logic/common/`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7889503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支付、卡号、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VMP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、云存储、缓存、定时任务等复用业务逻辑。</w:t>
            </w:r>
          </w:p>
        </w:tc>
      </w:tr>
      <w:tr w:rsidR="00000000" w14:paraId="48ED2496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E69703B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`new/app/service/`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E038AB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数据库对象服务，封装订单、用户、日志、卡类、推广关系等对象操作。</w:t>
            </w:r>
          </w:p>
        </w:tc>
      </w:tr>
      <w:tr w:rsidR="00000000" w14:paraId="6A6B1DE6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4CA1585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`new/app/models/`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4C8121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数据库结构体、请求响应结构体、业务常量，反映平台核心数据结构设计。</w:t>
            </w:r>
          </w:p>
        </w:tc>
      </w:tr>
      <w:tr w:rsidR="00000000" w14:paraId="19184CA0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A66F213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`KuaiYanSDK/`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4A617D7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快验对接相关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 SDK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与辅助函数，承担快验状态、接口调用、登录态同步等特定业务。</w:t>
            </w:r>
          </w:p>
        </w:tc>
      </w:tr>
      <w:tr w:rsidR="00000000" w14:paraId="1AD6E6F2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44067A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云函数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/`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45D516C2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面向二次开发的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 JavaScript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脚本样例和业务扩展脚本。</w:t>
            </w:r>
          </w:p>
        </w:tc>
      </w:tr>
    </w:tbl>
    <w:p w14:paraId="41669CEB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5. </w:t>
      </w:r>
      <w:r>
        <w:rPr>
          <w:rFonts w:ascii="微软雅黑" w:eastAsia="微软雅黑" w:hAnsi="微软雅黑" w:hint="eastAsia"/>
          <w:color w:val="111111"/>
        </w:rPr>
        <w:t>核心业务对象设计</w:t>
      </w:r>
    </w:p>
    <w:p w14:paraId="189EB665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5.1 </w:t>
      </w:r>
      <w:r>
        <w:rPr>
          <w:rFonts w:ascii="微软雅黑" w:eastAsia="微软雅黑" w:hAnsi="微软雅黑" w:hint="eastAsia"/>
          <w:color w:val="111111"/>
        </w:rPr>
        <w:t>用户与软件用户分离</w:t>
      </w:r>
    </w:p>
    <w:p w14:paraId="1BC7FE0F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飞鸟快验的一个核心设计点是“平台账号”和“应用内软件用户”分离。平台账号用于统一登录、余额、代理关系和支付记录；软件用户用于某一具体应用下的到期时间、积分点数、绑定信息和用户类型。这样可以实现“同一账号登录多个应用，但各应用的授权状态相互独立，余额可共享”的业务效果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873"/>
        <w:gridCol w:w="4524"/>
      </w:tblGrid>
      <w:tr w:rsidR="00000000" w14:paraId="4F9EFF83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26A563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47A9B3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EA0F33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典型数据</w:t>
            </w:r>
          </w:p>
        </w:tc>
      </w:tr>
      <w:tr w:rsidR="00000000" w14:paraId="44A918C8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1BD1477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平台用户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DC6E4D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账号体系、余额、代理归属、全局登录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245A3C9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用户名、密码、余额、注册时间、登录时间</w:t>
            </w:r>
          </w:p>
        </w:tc>
      </w:tr>
      <w:tr w:rsidR="00000000" w14:paraId="0F23C42B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628846E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软件用户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7B6D3D49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某个应用下的授权对象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8D504BE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AppId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Uid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VipTime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VipNumber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Key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UserClassId</w:t>
            </w:r>
          </w:p>
        </w:tc>
      </w:tr>
      <w:tr w:rsidR="00000000" w14:paraId="750E4AD6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A29629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应用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0B8F554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承载软件用户和授权策略的业务单位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2A87E9D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收费模式、加密方式、验证码方式、云变量</w:t>
            </w:r>
          </w:p>
        </w:tc>
      </w:tr>
    </w:tbl>
    <w:p w14:paraId="4059F2F9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5.2 </w:t>
      </w:r>
      <w:r>
        <w:rPr>
          <w:rFonts w:ascii="微软雅黑" w:eastAsia="微软雅黑" w:hAnsi="微软雅黑" w:hint="eastAsia"/>
          <w:color w:val="111111"/>
        </w:rPr>
        <w:t>卡类与卡号对象</w:t>
      </w:r>
    </w:p>
    <w:p w14:paraId="55CAFE6A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卡类是可配置的授权模板，卡号则是卡类实例化后的可销售凭据。卡类中定义了授权时长、积分、余额、售价、用户类型切换规则、卡号长度、前缀、校验方式等信息；卡号在生成时会继承这些属性并形成唯一的可用序列。系统既支持后台直接制卡，也支持代理基于权限制卡和库存分发。</w:t>
      </w:r>
    </w:p>
    <w:p w14:paraId="678F1F0B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 xml:space="preserve">5.3 </w:t>
      </w:r>
      <w:r>
        <w:rPr>
          <w:rFonts w:ascii="微软雅黑" w:eastAsia="微软雅黑" w:hAnsi="微软雅黑" w:hint="eastAsia"/>
          <w:color w:val="111111"/>
        </w:rPr>
        <w:t>支付订单对象</w:t>
      </w:r>
    </w:p>
    <w:p w14:paraId="78A6D078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支付订单对象不是单纯的充值单据，而是系统商业化流程的主线数据。它要记录支付通道、处理类型、付款金额、代收代理、回调地址、附加信息、订单状态及退款状态。</w:t>
      </w:r>
      <w:r>
        <w:rPr>
          <w:rFonts w:ascii="微软雅黑" w:eastAsia="微软雅黑" w:hAnsi="微软雅黑" w:hint="eastAsia"/>
          <w:color w:val="111111"/>
        </w:rPr>
        <w:t xml:space="preserve">`new/app/logic/common/rmbPay/rmbPay.go` </w:t>
      </w:r>
      <w:r>
        <w:rPr>
          <w:rFonts w:ascii="微软雅黑" w:eastAsia="微软雅黑" w:hAnsi="微软雅黑" w:hint="eastAsia"/>
          <w:color w:val="111111"/>
        </w:rPr>
        <w:t>中将不同支付通道抽象为统一接口，并在逻辑层内完成订单生成、回调、退款、代收切换与后续业务驱动。</w:t>
      </w:r>
    </w:p>
    <w:p w14:paraId="329885E1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5.4 </w:t>
      </w:r>
      <w:r>
        <w:rPr>
          <w:rFonts w:ascii="微软雅黑" w:eastAsia="微软雅黑" w:hAnsi="微软雅黑" w:hint="eastAsia"/>
          <w:color w:val="111111"/>
        </w:rPr>
        <w:t>代理与库存对象</w:t>
      </w:r>
    </w:p>
    <w:p w14:paraId="2054CD00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代理既可以走“利润分成”模式，也可以走“库存包控制”模式。库存包允许上级给下级分配指定卡类和有效期的卡号库存，从而使上级在不直接转余额的前提下控制下级业务能力。这一设计区别于单纯的邀请码分销，更接近真实的软件销售渠道管理。</w:t>
      </w:r>
    </w:p>
    <w:p w14:paraId="70493EAE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5.5 </w:t>
      </w:r>
      <w:r>
        <w:rPr>
          <w:rFonts w:ascii="微软雅黑" w:eastAsia="微软雅黑" w:hAnsi="微软雅黑" w:hint="eastAsia"/>
          <w:color w:val="111111"/>
        </w:rPr>
        <w:t>推广与营销对象</w:t>
      </w:r>
    </w:p>
    <w:p w14:paraId="44F69691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系统内同时存在</w:t>
      </w:r>
      <w:r>
        <w:rPr>
          <w:rFonts w:ascii="微软雅黑" w:eastAsia="微软雅黑" w:hAnsi="微软雅黑" w:hint="eastAsia"/>
          <w:color w:val="111111"/>
        </w:rPr>
        <w:t xml:space="preserve"> CPS </w:t>
      </w:r>
      <w:r>
        <w:rPr>
          <w:rFonts w:ascii="微软雅黑" w:eastAsia="微软雅黑" w:hAnsi="微软雅黑" w:hint="eastAsia"/>
          <w:color w:val="111111"/>
        </w:rPr>
        <w:t>推广、签到积分、活动促销、短链跳转等对象。推广关系对象记录邀请人、被邀请人、层级、归属应用及返佣状态；签到对象记录活动、任务、积分日志；短链对象用于推广落地与活动入口承接。该组合使平台同时具备授权系统和运营系统的双重属性。</w:t>
      </w:r>
    </w:p>
    <w:p w14:paraId="42FB0E2B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 </w:t>
      </w:r>
      <w:r>
        <w:rPr>
          <w:rFonts w:ascii="微软雅黑" w:eastAsia="微软雅黑" w:hAnsi="微软雅黑" w:hint="eastAsia"/>
          <w:color w:val="111111"/>
        </w:rPr>
        <w:t>核心业务流程设计</w:t>
      </w:r>
    </w:p>
    <w:p w14:paraId="345B6B20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6.1 </w:t>
      </w:r>
      <w:r>
        <w:rPr>
          <w:rFonts w:ascii="微软雅黑" w:eastAsia="微软雅黑" w:hAnsi="微软雅黑" w:hint="eastAsia"/>
          <w:color w:val="111111"/>
        </w:rPr>
        <w:t>客户端授权验证流程</w:t>
      </w:r>
    </w:p>
    <w:p w14:paraId="32298CDB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客户端软件调用</w:t>
      </w:r>
      <w:r>
        <w:rPr>
          <w:rFonts w:ascii="微软雅黑" w:eastAsia="微软雅黑" w:hAnsi="微软雅黑" w:hint="eastAsia"/>
          <w:color w:val="111111"/>
        </w:rPr>
        <w:t xml:space="preserve"> WebApi </w:t>
      </w:r>
      <w:r>
        <w:rPr>
          <w:rFonts w:ascii="微软雅黑" w:eastAsia="微软雅黑" w:hAnsi="微软雅黑" w:hint="eastAsia"/>
          <w:color w:val="111111"/>
        </w:rPr>
        <w:t>接口时，先由</w:t>
      </w:r>
      <w:r>
        <w:rPr>
          <w:rFonts w:ascii="微软雅黑" w:eastAsia="微软雅黑" w:hAnsi="微软雅黑" w:hint="eastAsia"/>
          <w:color w:val="111111"/>
        </w:rPr>
        <w:t xml:space="preserve"> Host </w:t>
      </w:r>
      <w:r>
        <w:rPr>
          <w:rFonts w:ascii="微软雅黑" w:eastAsia="微软雅黑" w:hAnsi="微软雅黑" w:hint="eastAsia"/>
          <w:color w:val="111111"/>
        </w:rPr>
        <w:t>校验与</w:t>
      </w:r>
      <w:r>
        <w:rPr>
          <w:rFonts w:ascii="微软雅黑" w:eastAsia="微软雅黑" w:hAnsi="微软雅黑" w:hint="eastAsia"/>
          <w:color w:val="111111"/>
        </w:rPr>
        <w:t xml:space="preserve"> Token </w:t>
      </w:r>
      <w:r>
        <w:rPr>
          <w:rFonts w:ascii="微软雅黑" w:eastAsia="微软雅黑" w:hAnsi="微软雅黑" w:hint="eastAsia"/>
          <w:color w:val="111111"/>
        </w:rPr>
        <w:t>中间件确定接口归属，再进入用户</w:t>
      </w:r>
      <w:r>
        <w:rPr>
          <w:rFonts w:ascii="微软雅黑" w:eastAsia="微软雅黑" w:hAnsi="微软雅黑" w:hint="eastAsia"/>
          <w:color w:val="111111"/>
        </w:rPr>
        <w:t xml:space="preserve"> API </w:t>
      </w:r>
      <w:r>
        <w:rPr>
          <w:rFonts w:ascii="微软雅黑" w:eastAsia="微软雅黑" w:hAnsi="微软雅黑" w:hint="eastAsia"/>
          <w:color w:val="111111"/>
        </w:rPr>
        <w:t>加密与参数解析流程。系统根据应用配置判断当前应用是否启用明文、</w:t>
      </w:r>
      <w:r>
        <w:rPr>
          <w:rFonts w:ascii="微软雅黑" w:eastAsia="微软雅黑" w:hAnsi="微软雅黑" w:hint="eastAsia"/>
          <w:color w:val="111111"/>
        </w:rPr>
        <w:t>AES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 xml:space="preserve">RSA </w:t>
      </w:r>
      <w:r>
        <w:rPr>
          <w:rFonts w:ascii="微软雅黑" w:eastAsia="微软雅黑" w:hAnsi="微软雅黑" w:hint="eastAsia"/>
          <w:color w:val="111111"/>
        </w:rPr>
        <w:t>或摘要式接口保护，并结合验证码或风控逻辑完成请求校验。请求通过后，由业务控制器读取软件用户、平台账号、应用配置和绑定信息，返回授权数据、有效期、积分或附加配置。</w:t>
      </w:r>
    </w:p>
    <w:p w14:paraId="7F0D8C6A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>客户端程序</w:t>
      </w:r>
    </w:p>
    <w:p w14:paraId="45D0BD10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-&gt; WebApi </w:t>
      </w:r>
      <w:r>
        <w:rPr>
          <w:color w:val="111111"/>
        </w:rPr>
        <w:t>路由</w:t>
      </w:r>
    </w:p>
    <w:p w14:paraId="73F1E0B5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-&gt; Host/Token/</w:t>
      </w:r>
      <w:r>
        <w:rPr>
          <w:color w:val="111111"/>
        </w:rPr>
        <w:t>解密中间件</w:t>
      </w:r>
    </w:p>
    <w:p w14:paraId="21466E0D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lastRenderedPageBreak/>
        <w:t xml:space="preserve">  -&gt; </w:t>
      </w:r>
      <w:r>
        <w:rPr>
          <w:color w:val="111111"/>
        </w:rPr>
        <w:t>控制器参数解析</w:t>
      </w:r>
    </w:p>
    <w:p w14:paraId="25F8AA96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-&gt; </w:t>
      </w:r>
      <w:r>
        <w:rPr>
          <w:color w:val="111111"/>
        </w:rPr>
        <w:t>业务逻辑读取</w:t>
      </w:r>
      <w:r>
        <w:rPr>
          <w:color w:val="111111"/>
        </w:rPr>
        <w:t xml:space="preserve"> App / AppUser / User / Setting</w:t>
      </w:r>
    </w:p>
    <w:p w14:paraId="4FB5095E" w14:textId="77777777" w:rsidR="00E843CD" w:rsidRDefault="00E843CD">
      <w:pPr>
        <w:pStyle w:val="HTML"/>
        <w:rPr>
          <w:color w:val="111111"/>
        </w:rPr>
      </w:pPr>
      <w:r>
        <w:rPr>
          <w:color w:val="111111"/>
        </w:rPr>
        <w:t xml:space="preserve">  -&gt; </w:t>
      </w:r>
      <w:r>
        <w:rPr>
          <w:color w:val="111111"/>
        </w:rPr>
        <w:t>绑定验证、到期判断、状态校验</w:t>
      </w:r>
    </w:p>
    <w:p w14:paraId="6F3542EC" w14:textId="77777777" w:rsidR="00E843CD" w:rsidRDefault="00E843CD">
      <w:pPr>
        <w:pStyle w:val="HTML"/>
        <w:rPr>
          <w:rFonts w:hint="eastAsia"/>
          <w:color w:val="111111"/>
        </w:rPr>
      </w:pPr>
      <w:r>
        <w:rPr>
          <w:color w:val="111111"/>
        </w:rPr>
        <w:t xml:space="preserve">  -&gt; </w:t>
      </w:r>
      <w:r>
        <w:rPr>
          <w:color w:val="111111"/>
        </w:rPr>
        <w:t>返回授权结果、配置或错误码</w:t>
      </w:r>
    </w:p>
    <w:p w14:paraId="69554786" w14:textId="77777777" w:rsidR="00E843CD" w:rsidRDefault="00E843CD">
      <w:pPr>
        <w:pStyle w:val="2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6.2 </w:t>
      </w:r>
      <w:r>
        <w:rPr>
          <w:rFonts w:ascii="微软雅黑" w:eastAsia="微软雅黑" w:hAnsi="微软雅黑" w:hint="eastAsia"/>
          <w:color w:val="111111"/>
        </w:rPr>
        <w:t>单账号多应用流程</w:t>
      </w:r>
    </w:p>
    <w:p w14:paraId="07A5E02F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终端用户以平台账号维度登录，但登录某个应用后，会在该应用下形成独立的软件用户记录。平台余额保留在统一账号下，应用级数据如授权到期时间、积分点数、用户类型、绑定信息则分别存储在对应应用的数据结构中。该模式既降低了用户的重复注册成本，也保留了每个应用独立运营的空间。</w:t>
      </w:r>
    </w:p>
    <w:p w14:paraId="01963243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6.3 </w:t>
      </w:r>
      <w:r>
        <w:rPr>
          <w:rFonts w:ascii="微软雅黑" w:eastAsia="微软雅黑" w:hAnsi="微软雅黑" w:hint="eastAsia"/>
          <w:color w:val="111111"/>
        </w:rPr>
        <w:t>卡号生成与充值流程</w:t>
      </w:r>
    </w:p>
    <w:p w14:paraId="7A12D6E1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`new/app/logic/common/ka/ka.go` </w:t>
      </w:r>
      <w:r>
        <w:rPr>
          <w:rFonts w:ascii="微软雅黑" w:eastAsia="微软雅黑" w:hAnsi="微软雅黑" w:hint="eastAsia"/>
          <w:color w:val="111111"/>
        </w:rPr>
        <w:t>中实现了卡号生成、卡号直充、用户类型换算、积分余额叠加、过期时间延长等关键逻辑。卡号生成时会根据卡类前缀、长度和字符类型生成随机主体，再追加校验字符防止输错或伪造。卡号充值时，根据应用的账号模式或卡号模式决定是修改软件用户授权，还是修改平台余额及相关日志。</w:t>
      </w:r>
    </w:p>
    <w:p w14:paraId="3FCA6BD4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在用户类型发生变化时，系统不是简单覆盖原授权，而是根据旧类型权重和新类型权重换算剩余时长或点数，再叠加新卡类带来的授权增量。这保证了不同会员等级间的转换具备业务连续性，而不会造成旧授权直接丢失。</w:t>
      </w:r>
    </w:p>
    <w:p w14:paraId="53976D38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6.4 </w:t>
      </w:r>
      <w:r>
        <w:rPr>
          <w:rFonts w:ascii="微软雅黑" w:eastAsia="微软雅黑" w:hAnsi="微软雅黑" w:hint="eastAsia"/>
          <w:color w:val="111111"/>
        </w:rPr>
        <w:t>支付下单、回调与退款流程</w:t>
      </w:r>
    </w:p>
    <w:p w14:paraId="7345E8F0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`new/app/logic/common/rmbPay/rmbPay.go` </w:t>
      </w:r>
      <w:r>
        <w:rPr>
          <w:rFonts w:ascii="微软雅黑" w:eastAsia="微软雅黑" w:hAnsi="微软雅黑" w:hint="eastAsia"/>
          <w:color w:val="111111"/>
        </w:rPr>
        <w:t>将支付宝</w:t>
      </w:r>
      <w:r>
        <w:rPr>
          <w:rFonts w:ascii="微软雅黑" w:eastAsia="微软雅黑" w:hAnsi="微软雅黑" w:hint="eastAsia"/>
          <w:color w:val="111111"/>
        </w:rPr>
        <w:t xml:space="preserve"> H5</w:t>
      </w:r>
      <w:r>
        <w:rPr>
          <w:rFonts w:ascii="微软雅黑" w:eastAsia="微软雅黑" w:hAnsi="微软雅黑" w:hint="eastAsia"/>
          <w:color w:val="111111"/>
        </w:rPr>
        <w:t>、支付宝</w:t>
      </w:r>
      <w:r>
        <w:rPr>
          <w:rFonts w:ascii="微软雅黑" w:eastAsia="微软雅黑" w:hAnsi="微软雅黑" w:hint="eastAsia"/>
          <w:color w:val="111111"/>
        </w:rPr>
        <w:t xml:space="preserve"> PC</w:t>
      </w:r>
      <w:r>
        <w:rPr>
          <w:rFonts w:ascii="微软雅黑" w:eastAsia="微软雅黑" w:hAnsi="微软雅黑" w:hint="eastAsia"/>
          <w:color w:val="111111"/>
        </w:rPr>
        <w:t>、支付宝当面付、微信支付、虎皮椒、易支付、小叮当、余额支付等多种通道统一抽象为</w:t>
      </w:r>
      <w:r>
        <w:rPr>
          <w:rFonts w:ascii="微软雅黑" w:eastAsia="微软雅黑" w:hAnsi="微软雅黑" w:hint="eastAsia"/>
          <w:color w:val="111111"/>
        </w:rPr>
        <w:t xml:space="preserve"> `RmbPayItem`</w:t>
      </w:r>
      <w:r>
        <w:rPr>
          <w:rFonts w:ascii="微软雅黑" w:eastAsia="微软雅黑" w:hAnsi="微软雅黑" w:hint="eastAsia"/>
          <w:color w:val="111111"/>
        </w:rPr>
        <w:t>。下单时，系统首先根据应用与场景确定订单类型，再根据是否启用代理代收选择系统支付配置或代理支付配置，最后生成支付订单并记录异步回调地址。</w:t>
      </w:r>
    </w:p>
    <w:p w14:paraId="5C063918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支付成功后，回调逻辑会驱动后续业务，如余额充值、购卡直充、购买卡号、更新日志等。退款流程则要求先校验订单状态，再依据原支付方式执行退款接口或余额回退。整个过程与订单表、余额日志、积分日志和卡号日志联动，保证业务动作可追溯。</w:t>
      </w:r>
    </w:p>
    <w:p w14:paraId="75C93BEF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 xml:space="preserve">6.5 </w:t>
      </w:r>
      <w:r>
        <w:rPr>
          <w:rFonts w:ascii="微软雅黑" w:eastAsia="微软雅黑" w:hAnsi="微软雅黑" w:hint="eastAsia"/>
          <w:color w:val="111111"/>
        </w:rPr>
        <w:t>代理代收款流程</w:t>
      </w:r>
    </w:p>
    <w:p w14:paraId="440D4772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当订单配置了代收代理且代理具备代收权限时，系统优先使用代理的在线支付配置生成订单，使用户付款直接进入代理侧收款账户。这样设计减少了平台方统一归集资金再二次分账的复杂度，也降低了中心账户沉淀风险。若代理配置不可用或代理余额、权限不满足条件，系统自动回退到平台默认支付配置。</w:t>
      </w:r>
    </w:p>
    <w:p w14:paraId="4C7AB190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6.6 CPS </w:t>
      </w:r>
      <w:r>
        <w:rPr>
          <w:rFonts w:ascii="微软雅黑" w:eastAsia="微软雅黑" w:hAnsi="微软雅黑" w:hint="eastAsia"/>
          <w:color w:val="111111"/>
        </w:rPr>
        <w:t>推广与签到活动流程</w:t>
      </w:r>
    </w:p>
    <w:p w14:paraId="19FAB04A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根据</w:t>
      </w:r>
      <w:r>
        <w:rPr>
          <w:rFonts w:ascii="微软雅黑" w:eastAsia="微软雅黑" w:hAnsi="微软雅黑" w:hint="eastAsia"/>
          <w:color w:val="111111"/>
        </w:rPr>
        <w:t xml:space="preserve"> `cps</w:t>
      </w:r>
      <w:r>
        <w:rPr>
          <w:rFonts w:ascii="微软雅黑" w:eastAsia="微软雅黑" w:hAnsi="微软雅黑" w:hint="eastAsia"/>
          <w:color w:val="111111"/>
        </w:rPr>
        <w:t>推广系统设计</w:t>
      </w:r>
      <w:r>
        <w:rPr>
          <w:rFonts w:ascii="微软雅黑" w:eastAsia="微软雅黑" w:hAnsi="微软雅黑" w:hint="eastAsia"/>
          <w:color w:val="111111"/>
        </w:rPr>
        <w:t xml:space="preserve">.md` </w:t>
      </w:r>
      <w:r>
        <w:rPr>
          <w:rFonts w:ascii="微软雅黑" w:eastAsia="微软雅黑" w:hAnsi="微软雅黑" w:hint="eastAsia"/>
          <w:color w:val="111111"/>
        </w:rPr>
        <w:t>与</w:t>
      </w:r>
      <w:r>
        <w:rPr>
          <w:rFonts w:ascii="微软雅黑" w:eastAsia="微软雅黑" w:hAnsi="微软雅黑" w:hint="eastAsia"/>
          <w:color w:val="111111"/>
        </w:rPr>
        <w:t xml:space="preserve"> `</w:t>
      </w:r>
      <w:r>
        <w:rPr>
          <w:rFonts w:ascii="微软雅黑" w:eastAsia="微软雅黑" w:hAnsi="微软雅黑" w:hint="eastAsia"/>
          <w:color w:val="111111"/>
        </w:rPr>
        <w:t>营销活动模块设计</w:t>
      </w:r>
      <w:r>
        <w:rPr>
          <w:rFonts w:ascii="微软雅黑" w:eastAsia="微软雅黑" w:hAnsi="微软雅黑" w:hint="eastAsia"/>
          <w:color w:val="111111"/>
        </w:rPr>
        <w:t xml:space="preserve">.md` </w:t>
      </w:r>
      <w:r>
        <w:rPr>
          <w:rFonts w:ascii="微软雅黑" w:eastAsia="微软雅黑" w:hAnsi="微软雅黑" w:hint="eastAsia"/>
          <w:color w:val="111111"/>
        </w:rPr>
        <w:t>的实现思路，系统将活动入口、推广链接、用户注册、首单付费、返佣结算和用户中心展示整合在一起。推广人可通过推广链接获得核心客户和裂变客户；后台通过订单完成情况统计有效推广量；签到活动则通过签到记录、签到任务和积分流水驱动营销留存。</w:t>
      </w:r>
    </w:p>
    <w:p w14:paraId="4149CB98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这类逻辑并不是外挂页面，而是直接进入数据模型和后台菜单：数据库中有</w:t>
      </w:r>
      <w:r>
        <w:rPr>
          <w:rFonts w:ascii="微软雅黑" w:eastAsia="微软雅黑" w:hAnsi="微软雅黑" w:hint="eastAsia"/>
          <w:color w:val="111111"/>
        </w:rPr>
        <w:t xml:space="preserve"> `DB_cpsInfo`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`DB_cpsUser`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`DB_cpsInvitingRelation`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`DB_checkInInfo`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>`DB_checkInLog`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 xml:space="preserve">`DB_checkInScoreLog` </w:t>
      </w:r>
      <w:r>
        <w:rPr>
          <w:rFonts w:ascii="微软雅黑" w:eastAsia="微软雅黑" w:hAnsi="微软雅黑" w:hint="eastAsia"/>
          <w:color w:val="111111"/>
        </w:rPr>
        <w:t>等结构，管理端也对应配置、日志和统计页面。</w:t>
      </w:r>
    </w:p>
    <w:p w14:paraId="47144F59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6.7 VMP </w:t>
      </w:r>
      <w:r>
        <w:rPr>
          <w:rFonts w:ascii="微软雅黑" w:eastAsia="微软雅黑" w:hAnsi="微软雅黑" w:hint="eastAsia"/>
          <w:color w:val="111111"/>
        </w:rPr>
        <w:t>一机一码授权流程</w:t>
      </w:r>
    </w:p>
    <w:p w14:paraId="7134EDF5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`new/app/logic/common/VMP/VMP.go` </w:t>
      </w:r>
      <w:r>
        <w:rPr>
          <w:rFonts w:ascii="微软雅黑" w:eastAsia="微软雅黑" w:hAnsi="微软雅黑" w:hint="eastAsia"/>
          <w:color w:val="111111"/>
        </w:rPr>
        <w:t>用于生成与设备绑定的一机一码授权数据。该模块先将用户名、邮箱、机器码、到期日期、时间限制、产品代码、用户自定义数据等字段按自定义格式打包，再计算摘要、追加校验，并使用给定的</w:t>
      </w:r>
      <w:r>
        <w:rPr>
          <w:rFonts w:ascii="微软雅黑" w:eastAsia="微软雅黑" w:hAnsi="微软雅黑" w:hint="eastAsia"/>
          <w:color w:val="111111"/>
        </w:rPr>
        <w:t xml:space="preserve"> RSA </w:t>
      </w:r>
      <w:r>
        <w:rPr>
          <w:rFonts w:ascii="微软雅黑" w:eastAsia="微软雅黑" w:hAnsi="微软雅黑" w:hint="eastAsia"/>
          <w:color w:val="111111"/>
        </w:rPr>
        <w:t>私钥和模数执行大整数指数运算，最终输出</w:t>
      </w:r>
      <w:r>
        <w:rPr>
          <w:rFonts w:ascii="微软雅黑" w:eastAsia="微软雅黑" w:hAnsi="微软雅黑" w:hint="eastAsia"/>
          <w:color w:val="111111"/>
        </w:rPr>
        <w:t xml:space="preserve"> Base64 </w:t>
      </w:r>
      <w:r>
        <w:rPr>
          <w:rFonts w:ascii="微软雅黑" w:eastAsia="微软雅黑" w:hAnsi="微软雅黑" w:hint="eastAsia"/>
          <w:color w:val="111111"/>
        </w:rPr>
        <w:t>形式的授权码。</w:t>
      </w:r>
    </w:p>
    <w:p w14:paraId="1699CE09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这一流程与一般的账号登录授权不同，它面向</w:t>
      </w:r>
      <w:r>
        <w:rPr>
          <w:rFonts w:ascii="微软雅黑" w:eastAsia="微软雅黑" w:hAnsi="微软雅黑" w:hint="eastAsia"/>
          <w:color w:val="111111"/>
        </w:rPr>
        <w:t xml:space="preserve"> EXE/APK </w:t>
      </w:r>
      <w:r>
        <w:rPr>
          <w:rFonts w:ascii="微软雅黑" w:eastAsia="微软雅黑" w:hAnsi="微软雅黑" w:hint="eastAsia"/>
          <w:color w:val="111111"/>
        </w:rPr>
        <w:t>一键加验证等场景，强调绑定设备、限制分发和保护桌面程序授权。授权数据字段、打包顺序、补码与运算方式均是本软件内部约定，体现了其专用性。</w:t>
      </w:r>
    </w:p>
    <w:p w14:paraId="2581F6D4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6.8 </w:t>
      </w:r>
      <w:r>
        <w:rPr>
          <w:rFonts w:ascii="微软雅黑" w:eastAsia="微软雅黑" w:hAnsi="微软雅黑" w:hint="eastAsia"/>
          <w:color w:val="111111"/>
        </w:rPr>
        <w:t>云函数、任务池与定时任务流程</w:t>
      </w:r>
    </w:p>
    <w:p w14:paraId="05E6E867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系统为二次开发者保留了较大自由度。公共函数本质上是服务器侧</w:t>
      </w:r>
      <w:r>
        <w:rPr>
          <w:rFonts w:ascii="微软雅黑" w:eastAsia="微软雅黑" w:hAnsi="微软雅黑" w:hint="eastAsia"/>
          <w:color w:val="111111"/>
        </w:rPr>
        <w:t xml:space="preserve"> JavaScript </w:t>
      </w:r>
      <w:r>
        <w:rPr>
          <w:rFonts w:ascii="微软雅黑" w:eastAsia="微软雅黑" w:hAnsi="微软雅黑" w:hint="eastAsia"/>
          <w:color w:val="111111"/>
        </w:rPr>
        <w:t>扩展点，可在特定流程前后执行自定义逻辑；任务池提供异步任务</w:t>
      </w:r>
      <w:r>
        <w:rPr>
          <w:rFonts w:ascii="微软雅黑" w:eastAsia="微软雅黑" w:hAnsi="微软雅黑" w:hint="eastAsia"/>
          <w:color w:val="111111"/>
        </w:rPr>
        <w:lastRenderedPageBreak/>
        <w:t>投递、查询和回执能力，适合长耗时接口；定时任务则支持以</w:t>
      </w:r>
      <w:r>
        <w:rPr>
          <w:rFonts w:ascii="微软雅黑" w:eastAsia="微软雅黑" w:hAnsi="微软雅黑" w:hint="eastAsia"/>
          <w:color w:val="111111"/>
        </w:rPr>
        <w:t xml:space="preserve"> cron </w:t>
      </w:r>
      <w:r>
        <w:rPr>
          <w:rFonts w:ascii="微软雅黑" w:eastAsia="微软雅黑" w:hAnsi="微软雅黑" w:hint="eastAsia"/>
          <w:color w:val="111111"/>
        </w:rPr>
        <w:t>表达式定时运行数据库刷新、统计汇总或用户自定义逻辑。通过这套扩展机制，本软件不需要频繁修改核心代码即可承载个性化业务。</w:t>
      </w:r>
    </w:p>
    <w:p w14:paraId="066E728A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7. </w:t>
      </w:r>
      <w:r>
        <w:rPr>
          <w:rFonts w:ascii="微软雅黑" w:eastAsia="微软雅黑" w:hAnsi="微软雅黑" w:hint="eastAsia"/>
          <w:color w:val="111111"/>
        </w:rPr>
        <w:t>安全与可靠性设计</w:t>
      </w:r>
    </w:p>
    <w:p w14:paraId="562CD7AC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7.1 </w:t>
      </w:r>
      <w:r>
        <w:rPr>
          <w:rFonts w:ascii="微软雅黑" w:eastAsia="微软雅黑" w:hAnsi="微软雅黑" w:hint="eastAsia"/>
          <w:color w:val="111111"/>
        </w:rPr>
        <w:t>接口安全</w:t>
      </w:r>
    </w:p>
    <w:p w14:paraId="115ABC87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系统支持多层接口防护：一是基于</w:t>
      </w:r>
      <w:r>
        <w:rPr>
          <w:rFonts w:ascii="微软雅黑" w:eastAsia="微软雅黑" w:hAnsi="微软雅黑" w:hint="eastAsia"/>
          <w:color w:val="111111"/>
        </w:rPr>
        <w:t xml:space="preserve"> Token </w:t>
      </w:r>
      <w:r>
        <w:rPr>
          <w:rFonts w:ascii="微软雅黑" w:eastAsia="微软雅黑" w:hAnsi="微软雅黑" w:hint="eastAsia"/>
          <w:color w:val="111111"/>
        </w:rPr>
        <w:t>的调用身份校验；二是基于</w:t>
      </w:r>
      <w:r>
        <w:rPr>
          <w:rFonts w:ascii="微软雅黑" w:eastAsia="微软雅黑" w:hAnsi="微软雅黑" w:hint="eastAsia"/>
          <w:color w:val="111111"/>
        </w:rPr>
        <w:t xml:space="preserve"> Host </w:t>
      </w:r>
      <w:r>
        <w:rPr>
          <w:rFonts w:ascii="微软雅黑" w:eastAsia="微软雅黑" w:hAnsi="微软雅黑" w:hint="eastAsia"/>
          <w:color w:val="111111"/>
        </w:rPr>
        <w:t>的接口入口限制；三是对用户</w:t>
      </w:r>
      <w:r>
        <w:rPr>
          <w:rFonts w:ascii="微软雅黑" w:eastAsia="微软雅黑" w:hAnsi="微软雅黑" w:hint="eastAsia"/>
          <w:color w:val="111111"/>
        </w:rPr>
        <w:t xml:space="preserve"> API </w:t>
      </w:r>
      <w:r>
        <w:rPr>
          <w:rFonts w:ascii="微软雅黑" w:eastAsia="微软雅黑" w:hAnsi="微软雅黑" w:hint="eastAsia"/>
          <w:color w:val="111111"/>
        </w:rPr>
        <w:t>进行</w:t>
      </w:r>
      <w:r>
        <w:rPr>
          <w:rFonts w:ascii="微软雅黑" w:eastAsia="微软雅黑" w:hAnsi="微软雅黑" w:hint="eastAsia"/>
          <w:color w:val="111111"/>
        </w:rPr>
        <w:t xml:space="preserve"> AES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 xml:space="preserve">RSA </w:t>
      </w:r>
      <w:r>
        <w:rPr>
          <w:rFonts w:ascii="微软雅黑" w:eastAsia="微软雅黑" w:hAnsi="微软雅黑" w:hint="eastAsia"/>
          <w:color w:val="111111"/>
        </w:rPr>
        <w:t>或摘要式保护；四是针对登录、注册、短信发送等场景配置图片验证码、短信验证码和行为验证码；五是通过黑名单限制异常</w:t>
      </w:r>
      <w:r>
        <w:rPr>
          <w:rFonts w:ascii="微软雅黑" w:eastAsia="微软雅黑" w:hAnsi="微软雅黑" w:hint="eastAsia"/>
          <w:color w:val="111111"/>
        </w:rPr>
        <w:t xml:space="preserve"> IP </w:t>
      </w:r>
      <w:r>
        <w:rPr>
          <w:rFonts w:ascii="微软雅黑" w:eastAsia="微软雅黑" w:hAnsi="微软雅黑" w:hint="eastAsia"/>
          <w:color w:val="111111"/>
        </w:rPr>
        <w:t>或异常绑定信息。</w:t>
      </w:r>
    </w:p>
    <w:p w14:paraId="60FF2EC1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7.2 </w:t>
      </w:r>
      <w:r>
        <w:rPr>
          <w:rFonts w:ascii="微软雅黑" w:eastAsia="微软雅黑" w:hAnsi="微软雅黑" w:hint="eastAsia"/>
          <w:color w:val="111111"/>
        </w:rPr>
        <w:t>事务与并发控制</w:t>
      </w:r>
    </w:p>
    <w:p w14:paraId="38B1864B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涉及卡号充值、库存转移、订单处理、余额增减等关键业务时，系统大量使用数据库事务和</w:t>
      </w:r>
      <w:r>
        <w:rPr>
          <w:rFonts w:ascii="微软雅黑" w:eastAsia="微软雅黑" w:hAnsi="微软雅黑" w:hint="eastAsia"/>
          <w:color w:val="111111"/>
        </w:rPr>
        <w:t xml:space="preserve"> `FOR UPDATE` </w:t>
      </w:r>
      <w:r>
        <w:rPr>
          <w:rFonts w:ascii="微软雅黑" w:eastAsia="微软雅黑" w:hAnsi="微软雅黑" w:hint="eastAsia"/>
          <w:color w:val="111111"/>
        </w:rPr>
        <w:t>锁来避免并发下的状态错乱。以卡号直充逻辑为例，程序在事务中重新加锁读取软件用户和平台用户，再进行余额、授权时长、积分和日志写入，避免重复充值、并发覆盖和死锁引起的数据不一致。</w:t>
      </w:r>
    </w:p>
    <w:p w14:paraId="0D79BF78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7.3 </w:t>
      </w:r>
      <w:r>
        <w:rPr>
          <w:rFonts w:ascii="微软雅黑" w:eastAsia="微软雅黑" w:hAnsi="微软雅黑" w:hint="eastAsia"/>
          <w:color w:val="111111"/>
        </w:rPr>
        <w:t>日志与审计</w:t>
      </w:r>
    </w:p>
    <w:p w14:paraId="12B3185E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内置了余额日志、积分日志、卡号日志、登录日志、代理操作日志、推广订单日志、定时任务日志等多类审计数据。日志并不是附属功能，而是业务闭环的一部分。管理员后续排查订单、充值、退费、封禁和代理纠纷时，都依赖这些日志对象进行核验。</w:t>
      </w:r>
    </w:p>
    <w:p w14:paraId="7BBA8358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7.4 </w:t>
      </w:r>
      <w:r>
        <w:rPr>
          <w:rFonts w:ascii="微软雅黑" w:eastAsia="微软雅黑" w:hAnsi="微软雅黑" w:hint="eastAsia"/>
          <w:color w:val="111111"/>
        </w:rPr>
        <w:t>容错与异常处理</w:t>
      </w:r>
    </w:p>
    <w:p w14:paraId="3D4DC5D3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`main.go` </w:t>
      </w:r>
      <w:r>
        <w:rPr>
          <w:rFonts w:ascii="微软雅黑" w:eastAsia="微软雅黑" w:hAnsi="微软雅黑" w:hint="eastAsia"/>
          <w:color w:val="111111"/>
        </w:rPr>
        <w:t>在程序入口设置了全局异常捕获，一旦出现未处理错误，会将堆栈信息汇总并上报到用户消息或日志体系。配置层采用默认值回填机制；数据库未连接成功时，系统保留初始化页面或等待配置逻辑；支付和代理代收的失败分支也设计了自动回退或错误备注记录机制。</w:t>
      </w:r>
    </w:p>
    <w:p w14:paraId="6BAAF70F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 xml:space="preserve">8. </w:t>
      </w:r>
      <w:r>
        <w:rPr>
          <w:rFonts w:ascii="微软雅黑" w:eastAsia="微软雅黑" w:hAnsi="微软雅黑" w:hint="eastAsia"/>
          <w:color w:val="111111"/>
        </w:rPr>
        <w:t>数据库设计说明</w:t>
      </w:r>
    </w:p>
    <w:p w14:paraId="18D4D843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系统使用</w:t>
      </w:r>
      <w:r>
        <w:rPr>
          <w:rFonts w:ascii="微软雅黑" w:eastAsia="微软雅黑" w:hAnsi="微软雅黑" w:hint="eastAsia"/>
          <w:color w:val="111111"/>
        </w:rPr>
        <w:t xml:space="preserve"> MySQL </w:t>
      </w:r>
      <w:r>
        <w:rPr>
          <w:rFonts w:ascii="微软雅黑" w:eastAsia="微软雅黑" w:hAnsi="微软雅黑" w:hint="eastAsia"/>
          <w:color w:val="111111"/>
        </w:rPr>
        <w:t>作为核心数据存储。不同业务对象在</w:t>
      </w:r>
      <w:r>
        <w:rPr>
          <w:rFonts w:ascii="微软雅黑" w:eastAsia="微软雅黑" w:hAnsi="微软雅黑" w:hint="eastAsia"/>
          <w:color w:val="111111"/>
        </w:rPr>
        <w:t xml:space="preserve"> `new/app/models/db` </w:t>
      </w:r>
      <w:r>
        <w:rPr>
          <w:rFonts w:ascii="微软雅黑" w:eastAsia="微软雅黑" w:hAnsi="微软雅黑" w:hint="eastAsia"/>
          <w:color w:val="111111"/>
        </w:rPr>
        <w:t>下分别定义。由于本软件同时具备授权、财务、代理和营销能力，因此数据表不止停留在“用户表</w:t>
      </w:r>
      <w:r>
        <w:rPr>
          <w:rFonts w:ascii="微软雅黑" w:eastAsia="微软雅黑" w:hAnsi="微软雅黑" w:hint="eastAsia"/>
          <w:color w:val="111111"/>
        </w:rPr>
        <w:t xml:space="preserve"> + </w:t>
      </w:r>
      <w:r>
        <w:rPr>
          <w:rFonts w:ascii="微软雅黑" w:eastAsia="微软雅黑" w:hAnsi="微软雅黑" w:hint="eastAsia"/>
          <w:color w:val="111111"/>
        </w:rPr>
        <w:t>订单表”两张基础表，而是形成了较完整的业务模型。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3"/>
        <w:gridCol w:w="3287"/>
      </w:tblGrid>
      <w:tr w:rsidR="00000000" w14:paraId="37F9CBCB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87945B3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数据表对象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F73C92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作用</w:t>
            </w:r>
          </w:p>
        </w:tc>
      </w:tr>
      <w:tr w:rsidR="00000000" w14:paraId="42D5ABA9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50BFBA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`DB_KaClass`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`DB_ka`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7C2AF8E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定义卡类模板和卡号实例，承载卡类售价、授权时长、积分、余额、使用状态等信息。</w:t>
            </w:r>
          </w:p>
        </w:tc>
      </w:tr>
      <w:tr w:rsidR="00000000" w14:paraId="69454201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A273A67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`DB_AppInfoWebUser`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`DB_appPromotionConfig`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DF84A3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定义应用在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 Web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用户中心的展示与推广配置。</w:t>
            </w:r>
          </w:p>
        </w:tc>
      </w:tr>
      <w:tr w:rsidR="00000000" w14:paraId="1BB5CEB6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1020897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`DB_cpsInfo`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`DB_cpsUser`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`DB_cpsInvitingRelation`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`DB_cpsPayOrder`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61055BB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用于推广活动配置、推广用户关系、返佣订单和裂变链路跟踪。</w:t>
            </w:r>
          </w:p>
        </w:tc>
      </w:tr>
      <w:tr w:rsidR="00000000" w14:paraId="6FF8F52E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8C7E58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`DB_checkInInfo`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`DB_checkInLog`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`DB_checkInScoreLog`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`DB_checkInTaskLog`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7BE0600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用于签到活动、签到奖励和任务完成记录。</w:t>
            </w:r>
          </w:p>
        </w:tc>
      </w:tr>
      <w:tr w:rsidR="00000000" w14:paraId="6928382E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CE2D4FB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`DB_LogMoney`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`DB_LogVipNumber`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`DB_LogKa`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`DB_LogLogin`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`DB_LogUserMsg`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51170FB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记录核心业务变更和安全审计信息。</w:t>
            </w:r>
          </w:p>
        </w:tc>
      </w:tr>
      <w:tr w:rsidR="00000000" w14:paraId="27A86D27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4700253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`DB_Setting`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`DB_shortUrl`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`DB_UserActive`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`DB_tongJiZaiXian`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BA1578B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承载系统配置、短链、活跃度统计、在线统计等基础与运营数据。</w:t>
            </w:r>
          </w:p>
        </w:tc>
      </w:tr>
    </w:tbl>
    <w:p w14:paraId="03703C2D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软件用户数据采用按应用维度存储的方式，这与单表存储全部软件用户相比，更利于按应用隔离授权数据和按业务规模扩展。日志类表设计成可独立查询和统计的结构，以适应高频数据增长场景。</w:t>
      </w:r>
    </w:p>
    <w:p w14:paraId="03C13702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 </w:t>
      </w:r>
      <w:r>
        <w:rPr>
          <w:rFonts w:ascii="微软雅黑" w:eastAsia="微软雅黑" w:hAnsi="微软雅黑" w:hint="eastAsia"/>
          <w:color w:val="111111"/>
        </w:rPr>
        <w:t>主要接口与页面设计</w:t>
      </w:r>
    </w:p>
    <w:p w14:paraId="26680518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9.1 </w:t>
      </w:r>
      <w:r>
        <w:rPr>
          <w:rFonts w:ascii="微软雅黑" w:eastAsia="微软雅黑" w:hAnsi="微软雅黑" w:hint="eastAsia"/>
          <w:color w:val="111111"/>
        </w:rPr>
        <w:t>管理后台接口</w:t>
      </w:r>
    </w:p>
    <w:p w14:paraId="7F983A7D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管理端围绕系统配置、监控面板、用户管理、应用管理、软件用户管理、卡号与卡类、代理管理、日志管理、支付订单、推广与活动配置展开。</w:t>
      </w:r>
      <w:r>
        <w:rPr>
          <w:rFonts w:ascii="微软雅黑" w:eastAsia="微软雅黑" w:hAnsi="微软雅黑" w:hint="eastAsia"/>
          <w:color w:val="111111"/>
        </w:rPr>
        <w:t xml:space="preserve">`new/app/router/admin/admin.go` </w:t>
      </w:r>
      <w:r>
        <w:rPr>
          <w:rFonts w:ascii="微软雅黑" w:eastAsia="微软雅黑" w:hAnsi="微软雅黑" w:hint="eastAsia"/>
          <w:color w:val="111111"/>
        </w:rPr>
        <w:t>中实际挂载了大量业务接口，这些接口与编译后的</w:t>
      </w:r>
      <w:r>
        <w:rPr>
          <w:rFonts w:ascii="微软雅黑" w:eastAsia="微软雅黑" w:hAnsi="微软雅黑" w:hint="eastAsia"/>
          <w:color w:val="111111"/>
        </w:rPr>
        <w:t xml:space="preserve"> VueAdmin </w:t>
      </w:r>
      <w:r>
        <w:rPr>
          <w:rFonts w:ascii="微软雅黑" w:eastAsia="微软雅黑" w:hAnsi="微软雅黑" w:hint="eastAsia"/>
          <w:color w:val="111111"/>
        </w:rPr>
        <w:t>静态资源一同构成完整的后台系统。</w:t>
      </w:r>
    </w:p>
    <w:p w14:paraId="0E08C646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9.2 WebApi </w:t>
      </w:r>
      <w:r>
        <w:rPr>
          <w:rFonts w:ascii="微软雅黑" w:eastAsia="微软雅黑" w:hAnsi="微软雅黑" w:hint="eastAsia"/>
          <w:color w:val="111111"/>
        </w:rPr>
        <w:t>接口</w:t>
      </w:r>
    </w:p>
    <w:p w14:paraId="01AB1E76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WebApi </w:t>
      </w:r>
      <w:r>
        <w:rPr>
          <w:rFonts w:ascii="微软雅黑" w:eastAsia="微软雅黑" w:hAnsi="微软雅黑" w:hint="eastAsia"/>
          <w:color w:val="111111"/>
        </w:rPr>
        <w:t>是飞鸟快验面向客户端软件的核心能力集合，其接口不仅包括授权验证，还包括支付状态查询、卡号信息、任务池、公共变量和云存储。相较于仅提供“登录鉴权”单一接口的验证系统，飞鸟快验的</w:t>
      </w:r>
      <w:r>
        <w:rPr>
          <w:rFonts w:ascii="微软雅黑" w:eastAsia="微软雅黑" w:hAnsi="微软雅黑" w:hint="eastAsia"/>
          <w:color w:val="111111"/>
        </w:rPr>
        <w:t xml:space="preserve"> WebApi </w:t>
      </w:r>
      <w:r>
        <w:rPr>
          <w:rFonts w:ascii="微软雅黑" w:eastAsia="微软雅黑" w:hAnsi="微软雅黑" w:hint="eastAsia"/>
          <w:color w:val="111111"/>
        </w:rPr>
        <w:t>更接近一套完整的应用服务后端。</w:t>
      </w:r>
    </w:p>
    <w:p w14:paraId="1CBC3CBB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9.3 Web </w:t>
      </w:r>
      <w:r>
        <w:rPr>
          <w:rFonts w:ascii="微软雅黑" w:eastAsia="微软雅黑" w:hAnsi="微软雅黑" w:hint="eastAsia"/>
          <w:color w:val="111111"/>
        </w:rPr>
        <w:t>用户中心</w:t>
      </w:r>
    </w:p>
    <w:p w14:paraId="7C729DAF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Web </w:t>
      </w:r>
      <w:r>
        <w:rPr>
          <w:rFonts w:ascii="微软雅黑" w:eastAsia="微软雅黑" w:hAnsi="微软雅黑" w:hint="eastAsia"/>
          <w:color w:val="111111"/>
        </w:rPr>
        <w:t>用户中心承担注册、登录、找回密码、续费、查看订单、修改信息、推广中心、签到活动等面向终端用户的页面能力。其价值在于把软件用户的生命周期延伸到浏览器中，从而降低纯客户端程序在营销和售后上的局限性。</w:t>
      </w:r>
    </w:p>
    <w:p w14:paraId="54184BEB" w14:textId="77777777" w:rsidR="00E843CD" w:rsidRDefault="00E843CD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9.4 </w:t>
      </w:r>
      <w:r>
        <w:rPr>
          <w:rFonts w:ascii="微软雅黑" w:eastAsia="微软雅黑" w:hAnsi="微软雅黑" w:hint="eastAsia"/>
          <w:color w:val="111111"/>
        </w:rPr>
        <w:t>代理后台</w:t>
      </w:r>
    </w:p>
    <w:p w14:paraId="43254E43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代理后台不是管理后台的缩减版，而是独立面向渠道角色设计的业务控制台，强调库存、下级、代收款、收益和提现等能力，便于多级销售组织使用。</w:t>
      </w:r>
    </w:p>
    <w:p w14:paraId="09383CA8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10. </w:t>
      </w:r>
      <w:r>
        <w:rPr>
          <w:rFonts w:ascii="微软雅黑" w:eastAsia="微软雅黑" w:hAnsi="微软雅黑" w:hint="eastAsia"/>
          <w:color w:val="111111"/>
        </w:rPr>
        <w:t>启动、配置与运行机制</w:t>
      </w:r>
    </w:p>
    <w:p w14:paraId="4D7BA41D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程序启动后，先通过</w:t>
      </w:r>
      <w:r>
        <w:rPr>
          <w:rFonts w:ascii="微软雅黑" w:eastAsia="微软雅黑" w:hAnsi="微软雅黑" w:hint="eastAsia"/>
          <w:color w:val="111111"/>
        </w:rPr>
        <w:t xml:space="preserve"> `core.InitViper()` </w:t>
      </w:r>
      <w:r>
        <w:rPr>
          <w:rFonts w:ascii="微软雅黑" w:eastAsia="微软雅黑" w:hAnsi="微软雅黑" w:hint="eastAsia"/>
          <w:color w:val="111111"/>
        </w:rPr>
        <w:t>读取</w:t>
      </w:r>
      <w:r>
        <w:rPr>
          <w:rFonts w:ascii="微软雅黑" w:eastAsia="微软雅黑" w:hAnsi="微软雅黑" w:hint="eastAsia"/>
          <w:color w:val="111111"/>
        </w:rPr>
        <w:t xml:space="preserve"> `config.json`</w:t>
      </w:r>
      <w:r>
        <w:rPr>
          <w:rFonts w:ascii="微软雅黑" w:eastAsia="微软雅黑" w:hAnsi="微软雅黑" w:hint="eastAsia"/>
          <w:color w:val="111111"/>
        </w:rPr>
        <w:t>，并对管理入口、代理入口、端口、验证码、日志、数据库参数设置默认值；再通过</w:t>
      </w:r>
      <w:r>
        <w:rPr>
          <w:rFonts w:ascii="微软雅黑" w:eastAsia="微软雅黑" w:hAnsi="微软雅黑" w:hint="eastAsia"/>
          <w:color w:val="111111"/>
        </w:rPr>
        <w:t xml:space="preserve"> </w:t>
      </w:r>
      <w:r>
        <w:rPr>
          <w:rFonts w:ascii="微软雅黑" w:eastAsia="微软雅黑" w:hAnsi="微软雅黑" w:hint="eastAsia"/>
          <w:color w:val="111111"/>
        </w:rPr>
        <w:lastRenderedPageBreak/>
        <w:t xml:space="preserve">`core.InitZap()` </w:t>
      </w:r>
      <w:r>
        <w:rPr>
          <w:rFonts w:ascii="微软雅黑" w:eastAsia="微软雅黑" w:hAnsi="微软雅黑" w:hint="eastAsia"/>
          <w:color w:val="111111"/>
        </w:rPr>
        <w:t>初始化日志；随后建立本地缓存和数据库连接；数据库成功连接后执行表初始化与部分系统数据刷新；最后装配路由、启动定时任务和</w:t>
      </w:r>
      <w:r>
        <w:rPr>
          <w:rFonts w:ascii="微软雅黑" w:eastAsia="微软雅黑" w:hAnsi="微软雅黑" w:hint="eastAsia"/>
          <w:color w:val="111111"/>
        </w:rPr>
        <w:t xml:space="preserve"> Web </w:t>
      </w:r>
      <w:r>
        <w:rPr>
          <w:rFonts w:ascii="微软雅黑" w:eastAsia="微软雅黑" w:hAnsi="微软雅黑" w:hint="eastAsia"/>
          <w:color w:val="111111"/>
        </w:rPr>
        <w:t>服务。</w:t>
      </w:r>
    </w:p>
    <w:p w14:paraId="1B53D763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系统还在启动后初始化与飞鸟快验内部状态有关的逻辑，例如心跳任务、统计刷新任务和</w:t>
      </w:r>
      <w:r>
        <w:rPr>
          <w:rFonts w:ascii="微软雅黑" w:eastAsia="微软雅黑" w:hAnsi="微软雅黑" w:hint="eastAsia"/>
          <w:color w:val="111111"/>
        </w:rPr>
        <w:t xml:space="preserve"> WebSocket </w:t>
      </w:r>
      <w:r>
        <w:rPr>
          <w:rFonts w:ascii="微软雅黑" w:eastAsia="微软雅黑" w:hAnsi="微软雅黑" w:hint="eastAsia"/>
          <w:color w:val="111111"/>
        </w:rPr>
        <w:t>状态管理。这使得系统可以既承担在线验证请求，又能承载后台统计、异步任务和运营活动。</w:t>
      </w:r>
    </w:p>
    <w:p w14:paraId="7A7AA530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11. </w:t>
      </w:r>
      <w:r>
        <w:rPr>
          <w:rFonts w:ascii="微软雅黑" w:eastAsia="微软雅黑" w:hAnsi="微软雅黑" w:hint="eastAsia"/>
          <w:color w:val="111111"/>
        </w:rPr>
        <w:t>代表性源程序说明</w:t>
      </w:r>
    </w:p>
    <w:p w14:paraId="4E20136E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本次补正时同步提交的源程序鉴别材料，围绕以下文件重新选取，目的是突出本软件的核心独创业务，而非展示通用框架代码：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5"/>
        <w:gridCol w:w="2265"/>
      </w:tblGrid>
      <w:tr w:rsidR="00000000" w14:paraId="17866FA5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3F963981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128DBD7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  <w:sz w:val="21"/>
                <w:szCs w:val="21"/>
              </w:rPr>
              <w:t>代表内容</w:t>
            </w:r>
          </w:p>
        </w:tc>
      </w:tr>
      <w:tr w:rsidR="00000000" w14:paraId="0094870F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B75CAB0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`main.go`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`core/core.go`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`core/InitRouter.go`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`new/app/router/Route.go`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`new/app/router/webApi2/webApi.go`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0ED7454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展示程序启动、配置、日志、路由分域和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 WebApi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入口的组织方式。</w:t>
            </w:r>
          </w:p>
        </w:tc>
      </w:tr>
      <w:tr w:rsidR="00000000" w14:paraId="6E92A8E3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D0DFFAF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`new/app/controller/admin/KuaiYanFull.go`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7D16CBBA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展示快验相关后台控制能力、验证码列表、用户信息更新、登录态联动等专用管理流程。</w:t>
            </w:r>
          </w:p>
        </w:tc>
      </w:tr>
      <w:tr w:rsidR="00000000" w14:paraId="4A15047E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0B65F24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`new/app/logic/common/VMP/VMP.go`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610CFB64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展示一机一码授权数据打包、摘要与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 RSA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大整数运算实现。</w:t>
            </w:r>
          </w:p>
        </w:tc>
      </w:tr>
      <w:tr w:rsidR="00000000" w14:paraId="5D621B9D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235A3575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`new/app/logic/common/rmbPay/rmbPay.go`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56C1A19E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展示多通道支付、订单创建、代收款切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换、支付回调和退款主逻辑。</w:t>
            </w:r>
          </w:p>
        </w:tc>
      </w:tr>
      <w:tr w:rsidR="00000000" w14:paraId="1BAFB80F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17CA417C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`new/app/logic/common/ka/ka.go`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14:paraId="453EF7A8" w14:textId="77777777" w:rsidR="00E843CD" w:rsidRDefault="00E843CD">
            <w:pPr>
              <w:spacing w:before="200" w:after="28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展示卡类卡号、直充、授权时长换算、积分余额更新和日志联动处理。</w:t>
            </w:r>
          </w:p>
        </w:tc>
      </w:tr>
    </w:tbl>
    <w:p w14:paraId="3F34CAA0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12. </w:t>
      </w:r>
      <w:r>
        <w:rPr>
          <w:rFonts w:ascii="微软雅黑" w:eastAsia="微软雅黑" w:hAnsi="微软雅黑" w:hint="eastAsia"/>
          <w:color w:val="111111"/>
        </w:rPr>
        <w:t>软件特征与独创性说明</w:t>
      </w:r>
    </w:p>
    <w:p w14:paraId="674E3849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飞鸟快验网络系统的独创性并不体现在单个算法片段，而体现在以下一组可协同工作的业务实现：</w:t>
      </w:r>
    </w:p>
    <w:p w14:paraId="3ED23265" w14:textId="77777777" w:rsidR="00E843CD" w:rsidRDefault="00E843CD">
      <w:pPr>
        <w:numPr>
          <w:ilvl w:val="0"/>
          <w:numId w:val="2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将平台账号与应用内软件用户分离，实现单账号多应用登录、余额共享而授权独立。</w:t>
      </w:r>
    </w:p>
    <w:p w14:paraId="20E4196C" w14:textId="77777777" w:rsidR="00E843CD" w:rsidRDefault="00E843CD">
      <w:pPr>
        <w:numPr>
          <w:ilvl w:val="0"/>
          <w:numId w:val="2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同时支持账号验证、卡号直充、购卡、余额充值、积分与时长混合授权模型。</w:t>
      </w:r>
    </w:p>
    <w:p w14:paraId="69AFF7B5" w14:textId="77777777" w:rsidR="00E843CD" w:rsidRDefault="00E843CD">
      <w:pPr>
        <w:numPr>
          <w:ilvl w:val="0"/>
          <w:numId w:val="2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将代理代收款、库存包、下级发展整合为可运营的软件销售渠道系统。</w:t>
      </w:r>
    </w:p>
    <w:p w14:paraId="1EBED2CB" w14:textId="77777777" w:rsidR="00E843CD" w:rsidRDefault="00E843CD">
      <w:pPr>
        <w:numPr>
          <w:ilvl w:val="0"/>
          <w:numId w:val="2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通过</w:t>
      </w:r>
      <w:r>
        <w:rPr>
          <w:rFonts w:ascii="微软雅黑" w:eastAsia="微软雅黑" w:hAnsi="微软雅黑" w:hint="eastAsia"/>
          <w:color w:val="111111"/>
        </w:rPr>
        <w:t xml:space="preserve"> WebApi</w:t>
      </w:r>
      <w:r>
        <w:rPr>
          <w:rFonts w:ascii="微软雅黑" w:eastAsia="微软雅黑" w:hAnsi="微软雅黑" w:hint="eastAsia"/>
          <w:color w:val="111111"/>
        </w:rPr>
        <w:t>、</w:t>
      </w:r>
      <w:r>
        <w:rPr>
          <w:rFonts w:ascii="微软雅黑" w:eastAsia="微软雅黑" w:hAnsi="微软雅黑" w:hint="eastAsia"/>
          <w:color w:val="111111"/>
        </w:rPr>
        <w:t xml:space="preserve">Web </w:t>
      </w:r>
      <w:r>
        <w:rPr>
          <w:rFonts w:ascii="微软雅黑" w:eastAsia="微软雅黑" w:hAnsi="微软雅黑" w:hint="eastAsia"/>
          <w:color w:val="111111"/>
        </w:rPr>
        <w:t>用户中心、营销活动和推广体系，把传统“授权校验器”扩展为完整运营平台。</w:t>
      </w:r>
    </w:p>
    <w:p w14:paraId="19A968C6" w14:textId="77777777" w:rsidR="00E843CD" w:rsidRDefault="00E843CD">
      <w:pPr>
        <w:numPr>
          <w:ilvl w:val="0"/>
          <w:numId w:val="2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内置一机一码</w:t>
      </w:r>
      <w:r>
        <w:rPr>
          <w:rFonts w:ascii="微软雅黑" w:eastAsia="微软雅黑" w:hAnsi="微软雅黑" w:hint="eastAsia"/>
          <w:color w:val="111111"/>
        </w:rPr>
        <w:t xml:space="preserve"> VMP </w:t>
      </w:r>
      <w:r>
        <w:rPr>
          <w:rFonts w:ascii="微软雅黑" w:eastAsia="微软雅黑" w:hAnsi="微软雅黑" w:hint="eastAsia"/>
          <w:color w:val="111111"/>
        </w:rPr>
        <w:t>授权计算能力，服务于</w:t>
      </w:r>
      <w:r>
        <w:rPr>
          <w:rFonts w:ascii="微软雅黑" w:eastAsia="微软雅黑" w:hAnsi="微软雅黑" w:hint="eastAsia"/>
          <w:color w:val="111111"/>
        </w:rPr>
        <w:t xml:space="preserve"> EXE/APK </w:t>
      </w:r>
      <w:r>
        <w:rPr>
          <w:rFonts w:ascii="微软雅黑" w:eastAsia="微软雅黑" w:hAnsi="微软雅黑" w:hint="eastAsia"/>
          <w:color w:val="111111"/>
        </w:rPr>
        <w:t>加验证场景。</w:t>
      </w:r>
    </w:p>
    <w:p w14:paraId="13254228" w14:textId="77777777" w:rsidR="00E843CD" w:rsidRDefault="00E843CD">
      <w:pPr>
        <w:numPr>
          <w:ilvl w:val="0"/>
          <w:numId w:val="2"/>
        </w:numPr>
        <w:spacing w:before="80" w:after="80"/>
        <w:ind w:left="120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提供公共函数、任务池、定时任务、云存储等扩展机制，便于非源码级二次开发。</w:t>
      </w:r>
    </w:p>
    <w:p w14:paraId="1767C449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这些特征在源码目录、控制器集合、逻辑层实现和数据模型中均有对应落点，因此能够反映本软件的实际设计内容，而非套用通用后台模板。</w:t>
      </w:r>
    </w:p>
    <w:p w14:paraId="02E1F080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13. </w:t>
      </w:r>
      <w:r>
        <w:rPr>
          <w:rFonts w:ascii="微软雅黑" w:eastAsia="微软雅黑" w:hAnsi="微软雅黑" w:hint="eastAsia"/>
          <w:color w:val="111111"/>
        </w:rPr>
        <w:t>版本对应说明</w:t>
      </w:r>
    </w:p>
    <w:p w14:paraId="30D41905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本文档围绕“飞鸟快验网络系统</w:t>
      </w:r>
      <w:r>
        <w:rPr>
          <w:rFonts w:ascii="微软雅黑" w:eastAsia="微软雅黑" w:hAnsi="微软雅黑" w:hint="eastAsia"/>
          <w:color w:val="111111"/>
        </w:rPr>
        <w:t>[</w:t>
      </w:r>
      <w:r>
        <w:rPr>
          <w:rFonts w:ascii="微软雅黑" w:eastAsia="微软雅黑" w:hAnsi="微软雅黑" w:hint="eastAsia"/>
          <w:color w:val="111111"/>
        </w:rPr>
        <w:t>简称：飞鸟快验</w:t>
      </w:r>
      <w:r>
        <w:rPr>
          <w:rFonts w:ascii="微软雅黑" w:eastAsia="微软雅黑" w:hAnsi="微软雅黑" w:hint="eastAsia"/>
          <w:color w:val="111111"/>
        </w:rPr>
        <w:t>] V1.0.449</w:t>
      </w:r>
      <w:r>
        <w:rPr>
          <w:rFonts w:ascii="微软雅黑" w:eastAsia="微软雅黑" w:hAnsi="微软雅黑" w:hint="eastAsia"/>
          <w:color w:val="111111"/>
        </w:rPr>
        <w:t>”编制，用于本次软件著作权登记补正。文档选取的结构、业务对象、程序分层和代表性模块均与该软件的核心功能一致，能够说明其程序组成和实际实现方式。</w:t>
      </w:r>
    </w:p>
    <w:p w14:paraId="53D0A956" w14:textId="77777777" w:rsidR="00E843CD" w:rsidRDefault="00E843CD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>附录</w:t>
      </w:r>
      <w:r>
        <w:rPr>
          <w:rFonts w:ascii="微软雅黑" w:eastAsia="微软雅黑" w:hAnsi="微软雅黑" w:hint="eastAsia"/>
          <w:color w:val="111111"/>
        </w:rPr>
        <w:t xml:space="preserve">A. </w:t>
      </w:r>
      <w:r>
        <w:rPr>
          <w:rFonts w:ascii="微软雅黑" w:eastAsia="微软雅黑" w:hAnsi="微软雅黑" w:hint="eastAsia"/>
          <w:color w:val="111111"/>
        </w:rPr>
        <w:t>系统界面截图</w:t>
      </w:r>
    </w:p>
    <w:p w14:paraId="06FD34E4" w14:textId="77777777" w:rsidR="00E843CD" w:rsidRDefault="00E843CD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下列截图为本系统已实际实现的管理端界面示意，用于辅助说明本软件在应用管理、统计监控、用户与卡号管理等方面的实际交互结构。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0"/>
      </w:tblGrid>
      <w:tr w:rsidR="00000000" w14:paraId="0AE0F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AE2D0D7" w14:textId="77777777" w:rsidR="00E843CD" w:rsidRDefault="00E843CD" w:rsidP="00E843CD">
            <w:pPr>
              <w:spacing w:before="200" w:after="280"/>
              <w:jc w:val="center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111111"/>
                <w:sz w:val="21"/>
                <w:szCs w:val="21"/>
              </w:rPr>
              <w:lastRenderedPageBreak/>
              <w:drawing>
                <wp:inline distT="0" distB="0" distL="0" distR="0" wp14:anchorId="51E79795" wp14:editId="64AB792B">
                  <wp:extent cx="5080000" cy="2740419"/>
                  <wp:effectExtent l="0" t="0" r="6350" b="3175"/>
                  <wp:docPr id="1" name="图片 1" descr="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ashbo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740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2A2EC" w14:textId="77777777" w:rsidR="00E843CD" w:rsidRDefault="00E843CD">
            <w:pPr>
              <w:spacing w:before="200" w:after="280"/>
              <w:jc w:val="center"/>
              <w:divId w:val="1508014310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图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A-1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管理端首页与监控概览</w:t>
            </w:r>
          </w:p>
        </w:tc>
      </w:tr>
      <w:tr w:rsidR="00000000" w14:paraId="247DD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286BE75" w14:textId="77777777" w:rsidR="00E843CD" w:rsidRDefault="00E843CD" w:rsidP="00E843CD">
            <w:pPr>
              <w:spacing w:before="200" w:after="280"/>
              <w:jc w:val="center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111111"/>
                <w:sz w:val="21"/>
                <w:szCs w:val="21"/>
              </w:rPr>
              <w:lastRenderedPageBreak/>
              <w:drawing>
                <wp:inline distT="0" distB="0" distL="0" distR="0" wp14:anchorId="2281DD8F" wp14:editId="3947F462">
                  <wp:extent cx="5080000" cy="2233702"/>
                  <wp:effectExtent l="0" t="0" r="6350" b="0"/>
                  <wp:docPr id="2" name="图片 2" descr="app 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pp li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233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4587F7" w14:textId="77777777" w:rsidR="00E843CD" w:rsidRDefault="00E843CD">
            <w:pPr>
              <w:spacing w:before="200" w:after="280"/>
              <w:jc w:val="center"/>
              <w:divId w:val="983584877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图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A-2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应用管理与配置页面</w:t>
            </w:r>
          </w:p>
        </w:tc>
      </w:tr>
      <w:tr w:rsidR="00000000" w14:paraId="43693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A19DFB4" w14:textId="77777777" w:rsidR="00E843CD" w:rsidRDefault="00E843CD" w:rsidP="00E843CD">
            <w:pPr>
              <w:spacing w:before="200" w:after="280"/>
              <w:jc w:val="center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111111"/>
                <w:sz w:val="21"/>
                <w:szCs w:val="21"/>
              </w:rPr>
              <w:lastRenderedPageBreak/>
              <w:drawing>
                <wp:inline distT="0" distB="0" distL="0" distR="0" wp14:anchorId="6751322D" wp14:editId="2E7620F7">
                  <wp:extent cx="5080000" cy="2738098"/>
                  <wp:effectExtent l="0" t="0" r="6350" b="5715"/>
                  <wp:docPr id="3" name="图片 3" descr="app u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pp u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738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7A4C8" w14:textId="77777777" w:rsidR="00E843CD" w:rsidRDefault="00E843CD">
            <w:pPr>
              <w:spacing w:before="200" w:after="280"/>
              <w:jc w:val="center"/>
              <w:divId w:val="2045792328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图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A-3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软件用户列表与授权数据管理</w:t>
            </w:r>
          </w:p>
        </w:tc>
      </w:tr>
      <w:tr w:rsidR="00000000" w14:paraId="33C0B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741505C" w14:textId="77777777" w:rsidR="00E843CD" w:rsidRDefault="00E843CD" w:rsidP="00E843CD">
            <w:pPr>
              <w:spacing w:before="200" w:after="280"/>
              <w:jc w:val="center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111111"/>
                <w:sz w:val="21"/>
                <w:szCs w:val="21"/>
              </w:rPr>
              <w:lastRenderedPageBreak/>
              <w:drawing>
                <wp:inline distT="0" distB="0" distL="0" distR="0" wp14:anchorId="39B9EE1C" wp14:editId="7372DB73">
                  <wp:extent cx="5080000" cy="1595195"/>
                  <wp:effectExtent l="0" t="0" r="6350" b="5080"/>
                  <wp:docPr id="4" name="图片 4" descr="ka 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ka li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59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4BCED" w14:textId="77777777" w:rsidR="00E843CD" w:rsidRDefault="00E843CD">
            <w:pPr>
              <w:spacing w:before="200" w:after="280"/>
              <w:jc w:val="center"/>
              <w:divId w:val="1780754308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图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A-4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卡号与卡类管理界面</w:t>
            </w:r>
          </w:p>
        </w:tc>
      </w:tr>
      <w:tr w:rsidR="00000000" w14:paraId="1FE72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2861F61" w14:textId="77777777" w:rsidR="00E843CD" w:rsidRDefault="00E843CD" w:rsidP="00E843CD">
            <w:pPr>
              <w:spacing w:before="200" w:after="280"/>
              <w:jc w:val="center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111111"/>
                <w:sz w:val="21"/>
                <w:szCs w:val="21"/>
              </w:rPr>
              <w:lastRenderedPageBreak/>
              <w:drawing>
                <wp:inline distT="0" distB="0" distL="0" distR="0" wp14:anchorId="1F00DE10" wp14:editId="467F5FEF">
                  <wp:extent cx="5080000" cy="2319130"/>
                  <wp:effectExtent l="0" t="0" r="6350" b="5080"/>
                  <wp:docPr id="5" name="图片 5" descr="char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har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31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E7E10" w14:textId="77777777" w:rsidR="00E843CD" w:rsidRDefault="00E843CD">
            <w:pPr>
              <w:spacing w:before="200" w:after="280"/>
              <w:jc w:val="center"/>
              <w:divId w:val="2012680828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图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A-5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图表统计与可视化运营监控</w:t>
            </w:r>
          </w:p>
        </w:tc>
      </w:tr>
      <w:tr w:rsidR="00000000" w14:paraId="53321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15CEC0B" w14:textId="77777777" w:rsidR="00E843CD" w:rsidRDefault="00E843CD" w:rsidP="00E843CD">
            <w:pPr>
              <w:spacing w:before="200" w:after="280"/>
              <w:jc w:val="center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111111"/>
                <w:sz w:val="21"/>
                <w:szCs w:val="21"/>
              </w:rPr>
              <w:lastRenderedPageBreak/>
              <w:drawing>
                <wp:inline distT="0" distB="0" distL="0" distR="0" wp14:anchorId="4AC74C97" wp14:editId="77155CDF">
                  <wp:extent cx="5080000" cy="2449760"/>
                  <wp:effectExtent l="0" t="0" r="6350" b="8255"/>
                  <wp:docPr id="6" name="图片 6" descr="ag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g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244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D825E1" w14:textId="77777777" w:rsidR="00E843CD" w:rsidRDefault="00E843CD">
            <w:pPr>
              <w:spacing w:before="200" w:after="280"/>
              <w:jc w:val="center"/>
              <w:divId w:val="734859905"/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lastRenderedPageBreak/>
              <w:t>图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 xml:space="preserve">A-6 </w:t>
            </w:r>
            <w:r>
              <w:rPr>
                <w:rFonts w:ascii="微软雅黑" w:eastAsia="微软雅黑" w:hAnsi="微软雅黑" w:hint="eastAsia"/>
                <w:color w:val="111111"/>
                <w:sz w:val="21"/>
                <w:szCs w:val="21"/>
              </w:rPr>
              <w:t>代理、订单或日志相关管理界面</w:t>
            </w:r>
          </w:p>
        </w:tc>
      </w:tr>
    </w:tbl>
    <w:p w14:paraId="43DB5F66" w14:textId="77777777" w:rsidR="00E843CD" w:rsidRDefault="00E843CD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A1DA" w14:textId="77777777" w:rsidR="00E843CD" w:rsidRDefault="00E843CD" w:rsidP="00E843CD">
      <w:pPr>
        <w:rPr>
          <w:rFonts w:hint="eastAsia"/>
        </w:rPr>
      </w:pPr>
      <w:r>
        <w:separator/>
      </w:r>
    </w:p>
  </w:endnote>
  <w:endnote w:type="continuationSeparator" w:id="0">
    <w:p w14:paraId="40126576" w14:textId="77777777" w:rsidR="00E843CD" w:rsidRDefault="00E843CD" w:rsidP="00E843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EDAA" w14:textId="77777777" w:rsidR="00E843CD" w:rsidRDefault="00E843CD" w:rsidP="00E843CD">
      <w:pPr>
        <w:rPr>
          <w:rFonts w:hint="eastAsia"/>
        </w:rPr>
      </w:pPr>
      <w:r>
        <w:separator/>
      </w:r>
    </w:p>
  </w:footnote>
  <w:footnote w:type="continuationSeparator" w:id="0">
    <w:p w14:paraId="5B25D2E7" w14:textId="77777777" w:rsidR="00E843CD" w:rsidRDefault="00E843CD" w:rsidP="00E843C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4C8"/>
    <w:multiLevelType w:val="multilevel"/>
    <w:tmpl w:val="20D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407E4"/>
    <w:multiLevelType w:val="multilevel"/>
    <w:tmpl w:val="C25C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694349">
    <w:abstractNumId w:val="0"/>
  </w:num>
  <w:num w:numId="2" w16cid:durableId="160472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CD"/>
    <w:rsid w:val="00E843CD"/>
    <w:rsid w:val="00F2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D6B74"/>
  <w15:chartTrackingRefBased/>
  <w15:docId w15:val="{2ED3EC25-73B9-45C6-B684-CB6B9455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360" w:after="16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60" w:after="160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keepNext/>
      <w:spacing w:before="360" w:after="160"/>
      <w:outlineLvl w:val="2"/>
    </w:pPr>
    <w:rPr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keepNext/>
      <w:spacing w:before="360" w:after="16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pBdr>
        <w:top w:val="single" w:sz="6" w:space="8" w:color="DDDDDD"/>
        <w:left w:val="single" w:sz="6" w:space="9" w:color="DDDDDD"/>
        <w:bottom w:val="single" w:sz="6" w:space="8" w:color="DDDDDD"/>
        <w:right w:val="single" w:sz="6" w:space="9" w:color="DDDDDD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240"/>
    </w:pPr>
    <w:rPr>
      <w:rFonts w:ascii="Consolas" w:hAnsi="Consolas"/>
      <w:sz w:val="19"/>
      <w:szCs w:val="19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  <w:ind w:firstLine="48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60"/>
      <w:ind w:firstLine="480"/>
      <w:jc w:val="both"/>
    </w:pPr>
  </w:style>
  <w:style w:type="paragraph" w:customStyle="1" w:styleId="cover">
    <w:name w:val="cover"/>
    <w:basedOn w:val="a"/>
    <w:pPr>
      <w:spacing w:before="80" w:after="80"/>
      <w:jc w:val="center"/>
    </w:pPr>
  </w:style>
  <w:style w:type="paragraph" w:customStyle="1" w:styleId="no-indent">
    <w:name w:val="no-indent"/>
    <w:basedOn w:val="a"/>
    <w:pPr>
      <w:spacing w:before="80" w:after="80"/>
    </w:pPr>
  </w:style>
  <w:style w:type="paragraph" w:customStyle="1" w:styleId="page-break">
    <w:name w:val="page-break"/>
    <w:basedOn w:val="a"/>
    <w:pPr>
      <w:pageBreakBefore/>
      <w:spacing w:before="80" w:after="80"/>
    </w:pPr>
  </w:style>
  <w:style w:type="paragraph" w:customStyle="1" w:styleId="shot-section">
    <w:name w:val="shot-section"/>
    <w:basedOn w:val="a"/>
    <w:pPr>
      <w:pageBreakBefore/>
      <w:spacing w:before="80" w:after="80"/>
    </w:pPr>
  </w:style>
  <w:style w:type="paragraph" w:customStyle="1" w:styleId="shot-grid">
    <w:name w:val="shot-grid"/>
    <w:basedOn w:val="a"/>
    <w:pPr>
      <w:spacing w:before="200" w:after="80"/>
    </w:pPr>
  </w:style>
  <w:style w:type="paragraph" w:customStyle="1" w:styleId="shot-caption">
    <w:name w:val="shot-caption"/>
    <w:basedOn w:val="a"/>
    <w:pPr>
      <w:spacing w:before="120" w:after="80"/>
      <w:jc w:val="center"/>
    </w:pPr>
    <w:rPr>
      <w:sz w:val="21"/>
      <w:szCs w:val="21"/>
    </w:rPr>
  </w:style>
  <w:style w:type="paragraph" w:customStyle="1" w:styleId="meta">
    <w:name w:val="meta"/>
    <w:basedOn w:val="a"/>
    <w:pPr>
      <w:spacing w:before="80" w:after="80"/>
    </w:pPr>
  </w:style>
  <w:style w:type="paragraph" w:customStyle="1" w:styleId="meta1">
    <w:name w:val="meta1"/>
    <w:basedOn w:val="a"/>
    <w:pPr>
      <w:spacing w:after="160"/>
      <w:ind w:firstLine="480"/>
      <w:jc w:val="both"/>
    </w:pPr>
  </w:style>
  <w:style w:type="paragraph" w:styleId="a4">
    <w:name w:val="header"/>
    <w:basedOn w:val="a"/>
    <w:link w:val="a5"/>
    <w:uiPriority w:val="99"/>
    <w:unhideWhenUsed/>
    <w:rsid w:val="00E843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43CD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43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43C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859905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877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310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308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828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2328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E:\yun\project\TY&#36890;&#29992;&#21518;&#21488;&#31649;&#29702;&#31995;&#32479;\server2\img\2.jp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E:\yun\project\TY&#36890;&#29992;&#21518;&#21488;&#31649;&#29702;&#31995;&#32479;\server2\img\1.jpg" TargetMode="External"/><Relationship Id="rId12" Type="http://schemas.openxmlformats.org/officeDocument/2006/relationships/image" Target="file:///E:\yun\project\TY&#36890;&#29992;&#21518;&#21488;&#31649;&#29702;&#31995;&#32479;\server2\img\9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file:///E:\yun\project\TY&#36890;&#29992;&#21518;&#21488;&#31649;&#29702;&#31995;&#32479;\server2\img\7.jpg" TargetMode="External"/><Relationship Id="rId5" Type="http://schemas.openxmlformats.org/officeDocument/2006/relationships/footnotes" Target="footnotes.xml"/><Relationship Id="rId10" Type="http://schemas.openxmlformats.org/officeDocument/2006/relationships/image" Target="file:///E:\yun\project\TY&#36890;&#29992;&#21518;&#21488;&#31649;&#29702;&#31995;&#32479;\server2\img\4.jp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E:\yun\project\TY&#36890;&#29992;&#21518;&#21488;&#31649;&#29702;&#31995;&#32479;\server2\img\3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4139</Words>
  <Characters>5465</Characters>
  <Application>Microsoft Office Word</Application>
  <DocSecurity>0</DocSecurity>
  <Lines>287</Lines>
  <Paragraphs>252</Paragraphs>
  <ScaleCrop>false</ScaleCrop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飞鸟快验网络系统程序设计说明书 V1.0.449</dc:title>
  <dc:subject/>
  <dc:creator>隐落 暗月</dc:creator>
  <cp:keywords/>
  <dc:description/>
  <cp:lastModifiedBy>隐落 暗月</cp:lastModifiedBy>
  <cp:revision>2</cp:revision>
  <dcterms:created xsi:type="dcterms:W3CDTF">2026-07-22T06:34:00Z</dcterms:created>
  <dcterms:modified xsi:type="dcterms:W3CDTF">2026-07-22T06:34:00Z</dcterms:modified>
</cp:coreProperties>
</file>