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问题三可解释多模态情感预测"/>
    <w:p>
      <w:pPr>
        <w:pStyle w:val="Heading1"/>
      </w:pPr>
      <w:r>
        <w:rPr>
          <w:rFonts w:ascii="Times New Roman" w:hAnsi="Times New Roman" w:cs="Times New Roman" w:eastAsia="黑体"/>
          <w:b/>
          <w:color w:val="000000"/>
          <w:sz w:val="32"/>
        </w:rPr>
        <w:t xml:space="preserve">7 </w:t>
      </w:r>
      <w:r>
        <w:rPr>
          <w:rFonts w:hint="eastAsia" w:ascii="Times New Roman" w:hAnsi="Times New Roman" w:cs="Times New Roman" w:eastAsia="黑体"/>
          <w:b/>
          <w:color w:val="000000"/>
          <w:sz w:val="32"/>
        </w:rPr>
        <w:t xml:space="preserve">问题三：可解释多模态情感预测</w:t>
      </w:r>
    </w:p>
    <w:bookmarkStart w:id="17" w:name="模型建立"/>
    <w:p>
      <w:pPr>
        <w:pStyle w:val="Heading2"/>
      </w:pPr>
      <w:r>
        <w:rPr>
          <w:rFonts w:ascii="Times New Roman" w:hAnsi="Times New Roman" w:cs="Times New Roman" w:eastAsia="黑体"/>
          <w:b/>
          <w:color w:val="000000"/>
          <w:sz w:val="28"/>
        </w:rPr>
        <w:t xml:space="preserve">7.1 </w:t>
      </w:r>
      <w:r>
        <w:rPr>
          <w:rFonts w:hint="eastAsia" w:ascii="Times New Roman" w:hAnsi="Times New Roman" w:cs="Times New Roman" w:eastAsia="黑体"/>
          <w:b/>
          <w:color w:val="000000"/>
          <w:sz w:val="28"/>
        </w:rPr>
        <w:t xml:space="preserve">模型建立</w:t>
      </w:r>
    </w:p>
    <w:bookmarkStart w:id="9" w:name="可解释性任务定义"/>
    <w:p>
      <w:pPr>
        <w:pStyle w:val="Heading3"/>
      </w:pPr>
      <w:r>
        <w:rPr>
          <w:rFonts w:ascii="Times New Roman" w:hAnsi="Times New Roman" w:cs="Times New Roman" w:eastAsia="黑体"/>
          <w:b/>
          <w:color w:val="000000"/>
          <w:sz w:val="24"/>
        </w:rPr>
        <w:t xml:space="preserve">7.1.1 </w:t>
      </w:r>
      <w:r>
        <w:rPr>
          <w:rFonts w:hint="eastAsia" w:ascii="Times New Roman" w:hAnsi="Times New Roman" w:cs="Times New Roman" w:eastAsia="黑体"/>
          <w:b/>
          <w:color w:val="000000"/>
          <w:sz w:val="24"/>
        </w:rPr>
        <w:t xml:space="preserve">可解释性任务定义</w:t>
      </w:r>
    </w:p>
    <w:p>
      <w:pPr>
        <w:pStyle w:val="FirstParagraph"/>
        <w:spacing w:before="0" w:after="0" w:line="360" w:lineRule="auto"/>
        <w:ind w:firstLine="480"/>
        <w:jc w:val="both"/>
      </w:pPr>
      <w:r>
        <w:rPr>
          <w:rFonts w:hint="eastAsia" w:ascii="Times New Roman" w:hAnsi="Times New Roman" w:cs="Times New Roman" w:eastAsia="宋体"/>
          <w:color w:val="000000"/>
          <w:sz w:val="24"/>
        </w:rPr>
        <w:t xml:space="preserve">问题三要求在输出情感预测的同时给出可检验的判断依据。本文将其形式化为三个层次的归因问题：在样本层面，解释模型为何对样本</w:t>
      </w:r>
      <w:r>
        <w:rPr>
          <w:rFonts w:ascii="Times New Roman" w:hAnsi="Times New Roman" w:cs="Times New Roman" w:eastAsia="宋体"/>
          <w:color w:val="000000"/>
          <w:sz w:val="24"/>
        </w:rPr>
        <w:t xml:space="preserve"> </w:t>
      </w:r>
      <m:oMath>
        <m:r>
          <m:t>i</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输出当前的极性类别与情感强度；在模态层面，量化文本、音频、视觉三种模态对该输出的边际贡献及其方向；在位置层面，将贡献定位到文本词元与音视频时间片段，并建立其与原始材料之间的可回溯映射。</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解释对象为冻结模型的两个输出：完整输入下预测类别</w:t>
      </w:r>
      <w:r>
        <w:rPr>
          <w:rFonts w:ascii="Times New Roman" w:hAnsi="Times New Roman" w:cs="Times New Roman" w:eastAsia="宋体"/>
          <w:color w:val="000000"/>
          <w:sz w:val="24"/>
        </w:rPr>
        <w:t xml:space="preserve"> </w:t>
      </w:r>
      <m:oMath>
        <m:sSub>
          <m:e>
            <m:acc>
              <m:accPr>
                <m:chr m:val="̂"/>
              </m:accPr>
              <m:e>
                <m:r>
                  <m:t>y</m:t>
                </m:r>
              </m:e>
            </m:acc>
          </m:e>
          <m:sub>
            <m:r>
              <m:t>i</m:t>
            </m:r>
          </m:sub>
        </m:sSub>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的后验概率</w:t>
      </w:r>
      <w:r>
        <w:rPr>
          <w:rFonts w:ascii="Times New Roman" w:hAnsi="Times New Roman" w:cs="Times New Roman" w:eastAsia="宋体"/>
          <w:color w:val="000000"/>
          <w:sz w:val="24"/>
        </w:rPr>
        <w:t xml:space="preserve"> </w:t>
      </w:r>
      <m:oMath>
        <m:sSubSup>
          <m:e>
            <m:r>
              <m:t>p</m:t>
            </m:r>
          </m:e>
          <m:sub>
            <m:r>
              <m:t>i</m:t>
            </m:r>
          </m:sub>
          <m:sup>
            <m:r>
              <m:rPr>
                <m:sty m:val="p"/>
              </m:rPr>
              <m:t>f</m:t>
            </m:r>
            <m:r>
              <m:rPr>
                <m:sty m:val="p"/>
              </m:rPr>
              <m:t>u</m:t>
            </m:r>
            <m:r>
              <m:rPr>
                <m:sty m:val="p"/>
              </m:rPr>
              <m:t>l</m:t>
            </m:r>
            <m:r>
              <m:rPr>
                <m:sty m:val="p"/>
              </m:rPr>
              <m:t>l</m:t>
            </m:r>
          </m:sup>
        </m:sSubSup>
        <m:r>
          <m:rPr>
            <m:sty m:val="p"/>
          </m:rPr>
          <m:t>(</m:t>
        </m:r>
        <m:sSub>
          <m:e>
            <m:acc>
              <m:accPr>
                <m:chr m:val="̂"/>
              </m:accPr>
              <m:e>
                <m:r>
                  <m:t>y</m:t>
                </m:r>
              </m:e>
            </m:acc>
          </m:e>
          <m:sub>
            <m:r>
              <m:t>i</m:t>
            </m:r>
          </m:sub>
        </m:sSub>
        <m:r>
          <m:rPr>
            <m:sty m:val="p"/>
          </m:rPr>
          <m:t>)</m:t>
        </m:r>
      </m:oMath>
      <w:r>
        <w:rPr>
          <w:rFonts w:hint="eastAsia" w:ascii="Times New Roman" w:hAnsi="Times New Roman" w:cs="Times New Roman" w:eastAsia="宋体"/>
          <w:color w:val="000000"/>
          <w:sz w:val="24"/>
        </w:rPr>
        <w:t xml:space="preserve">，以及连续情感强度</w:t>
      </w:r>
      <w:r>
        <w:rPr>
          <w:rFonts w:ascii="Times New Roman" w:hAnsi="Times New Roman" w:cs="Times New Roman" w:eastAsia="宋体"/>
          <w:color w:val="000000"/>
          <w:sz w:val="24"/>
        </w:rPr>
        <w:t xml:space="preserve"> </w:t>
      </w:r>
      <m:oMath>
        <m:sSubSup>
          <m:e>
            <m:acc>
              <m:accPr>
                <m:chr m:val="̂"/>
              </m:accPr>
              <m:e>
                <m:r>
                  <m:t>r</m:t>
                </m:r>
              </m:e>
            </m:acc>
          </m:e>
          <m:sub>
            <m:r>
              <m:t>i</m:t>
            </m:r>
          </m:sub>
          <m:sup>
            <m:r>
              <m:rPr>
                <m:sty m:val="p"/>
              </m:rPr>
              <m:t>f</m:t>
            </m:r>
            <m:r>
              <m:rPr>
                <m:sty m:val="p"/>
              </m:rPr>
              <m:t>u</m:t>
            </m:r>
            <m:r>
              <m:rPr>
                <m:sty m:val="p"/>
              </m:rPr>
              <m:t>l</m:t>
            </m:r>
            <m:r>
              <m:rPr>
                <m:sty m:val="p"/>
              </m:rPr>
              <m:t>l</m:t>
            </m:r>
          </m:sup>
        </m:sSubSup>
      </m:oMath>
      <w:r>
        <w:rPr>
          <w:rFonts w:hint="eastAsia" w:ascii="Times New Roman" w:hAnsi="Times New Roman" w:cs="Times New Roman" w:eastAsia="宋体"/>
          <w:color w:val="000000"/>
          <w:sz w:val="24"/>
        </w:rPr>
        <w:t xml:space="preserve">。二者分别对应分类与回归任务，量纲不同，因而分别定义贡献，不作加权合成。</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问题三属于事后解释（post-hoc</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explanation），不对模型重新训练。为避免解释过程向专项数据泄漏信息，数据使用遵循以下约束：解释方法及窗口长度、Top-K等超参数仅在附件2验证集（728条，含标签）上确定与检验；附件4的20条专项视频样本仅用于一次性推理与解释，不参与训练、调参、阈值选择或标准化参数拟合。附件4不含标签字段，本章对其仅报告预测结果、置信度与解释证据，不计算Accuracy、Macro-F1或MAE等监督指标，预测类别亦不作为真实类别使用。</w:t>
      </w:r>
    </w:p>
    <w:bookmarkEnd w:id="9"/>
    <w:bookmarkStart w:id="10" w:name="多模态预测模型结构"/>
    <w:p>
      <w:pPr>
        <w:pStyle w:val="Heading3"/>
      </w:pPr>
      <w:r>
        <w:rPr>
          <w:rFonts w:ascii="Times New Roman" w:hAnsi="Times New Roman" w:cs="Times New Roman" w:eastAsia="黑体"/>
          <w:b/>
          <w:color w:val="000000"/>
          <w:sz w:val="24"/>
        </w:rPr>
        <w:t xml:space="preserve">7.1.2 </w:t>
      </w:r>
      <w:r>
        <w:rPr>
          <w:rFonts w:hint="eastAsia" w:ascii="Times New Roman" w:hAnsi="Times New Roman" w:cs="Times New Roman" w:eastAsia="黑体"/>
          <w:b/>
          <w:color w:val="000000"/>
          <w:sz w:val="24"/>
        </w:rPr>
        <w:t xml:space="preserve">多模态预测模型结构</w:t>
      </w:r>
    </w:p>
    <w:p>
      <w:pPr>
        <w:pStyle w:val="FirstParagraph"/>
        <w:spacing w:before="0" w:after="0" w:line="360" w:lineRule="auto"/>
        <w:ind w:firstLine="480"/>
        <w:jc w:val="both"/>
      </w:pPr>
      <w:r>
        <w:rPr>
          <w:rFonts w:hint="eastAsia" w:ascii="Times New Roman" w:hAnsi="Times New Roman" w:cs="Times New Roman" w:eastAsia="宋体"/>
          <w:color w:val="000000"/>
          <w:sz w:val="24"/>
        </w:rPr>
        <w:t xml:space="preserve">被解释模型为第六章确定的三模态静态拼接模型</w:t>
      </w:r>
      <w:r>
        <w:rPr>
          <w:rFonts w:ascii="Times New Roman" w:hAnsi="Times New Roman" w:cs="Times New Roman" w:eastAsia="宋体"/>
          <w:color w:val="000000"/>
          <w:sz w:val="24"/>
        </w:rPr>
        <w:t xml:space="preserve"> </w:t>
      </w:r>
      <w:r>
        <w:rPr>
          <w:rStyle w:val="VerbatimChar"/>
          <w:rFonts w:ascii="Times New Roman" w:hAnsi="Times New Roman" w:cs="Times New Roman" w:eastAsia="宋体"/>
          <w:color w:val="000000"/>
          <w:sz w:val="24"/>
        </w:rPr>
        <w:t xml:space="preserve">static_concat</w:t>
      </w:r>
      <w:r>
        <w:rPr>
          <w:rFonts w:hint="eastAsia" w:ascii="Times New Roman" w:hAnsi="Times New Roman" w:cs="Times New Roman" w:eastAsia="宋体"/>
          <w:color w:val="000000"/>
          <w:sz w:val="24"/>
        </w:rPr>
        <w:t xml:space="preserve">（6.1.3节）。记样本</w:t>
      </w:r>
      <w:r>
        <w:rPr>
          <w:rFonts w:ascii="Times New Roman" w:hAnsi="Times New Roman" w:cs="Times New Roman" w:eastAsia="宋体"/>
          <w:color w:val="000000"/>
          <w:sz w:val="24"/>
        </w:rPr>
        <w:t xml:space="preserve"> </w:t>
      </w:r>
      <m:oMath>
        <m:r>
          <m:t>i</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第</w:t>
      </w:r>
      <w:r>
        <w:rPr>
          <w:rFonts w:ascii="Times New Roman" w:hAnsi="Times New Roman" w:cs="Times New Roman" w:eastAsia="宋体"/>
          <w:color w:val="000000"/>
          <w:sz w:val="24"/>
        </w:rPr>
        <w:t xml:space="preserve"> </w:t>
      </w:r>
      <m:oMath>
        <m:r>
          <m:t>m</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种模态的输入为</w:t>
      </w:r>
      <w:r>
        <w:rPr>
          <w:rFonts w:ascii="Times New Roman" w:hAnsi="Times New Roman" w:cs="Times New Roman" w:eastAsia="宋体"/>
          <w:color w:val="000000"/>
          <w:sz w:val="24"/>
        </w:rPr>
        <w:t xml:space="preserve"> </w:t>
      </w:r>
      <m:oMath>
        <m:sSubSup>
          <m:e>
            <m:r>
              <m:t>X</m:t>
            </m:r>
          </m:e>
          <m:sub>
            <m:r>
              <m:t>i</m:t>
            </m:r>
          </m:sub>
          <m:sup>
            <m:r>
              <m:rPr>
                <m:sty m:val="p"/>
              </m:rPr>
              <m:t>(</m:t>
            </m:r>
            <m:r>
              <m:t>m</m:t>
            </m:r>
            <m:r>
              <m:rPr>
                <m:sty m:val="p"/>
              </m:rPr>
              <m:t>)</m:t>
            </m:r>
          </m:sup>
        </m:sSubSup>
        <m:r>
          <m:rPr>
            <m:sty m:val="p"/>
          </m:rPr>
          <m:t>∈</m:t>
        </m:r>
        <m:sSup>
          <m:e>
            <m:r>
              <m:rPr>
                <m:scr m:val="double-struck"/>
                <m:sty m:val="p"/>
              </m:rPr>
              <m:t>R</m:t>
            </m:r>
          </m:e>
          <m:sup>
            <m:r>
              <m:t>T</m:t>
            </m:r>
            <m:r>
              <m:rPr>
                <m:sty m:val="p"/>
              </m:rPr>
              <m:t>×</m:t>
            </m:r>
            <m:sSub>
              <m:e>
                <m:r>
                  <m:t>d</m:t>
                </m:r>
              </m:e>
              <m:sub>
                <m:r>
                  <m:t>m</m:t>
                </m:r>
              </m:sub>
            </m:sSub>
          </m:sup>
        </m:sSup>
      </m:oMath>
      <w:r>
        <w:rPr>
          <w:rFonts w:hint="eastAsia" w:ascii="Times New Roman" w:hAnsi="Times New Roman" w:cs="Times New Roman" w:eastAsia="宋体"/>
          <w:color w:val="000000"/>
          <w:sz w:val="24"/>
        </w:rPr>
        <w:t xml:space="preserve">，观测掩码为</w:t>
      </w:r>
      <w:r>
        <w:rPr>
          <w:rFonts w:ascii="Times New Roman" w:hAnsi="Times New Roman" w:cs="Times New Roman" w:eastAsia="宋体"/>
          <w:color w:val="000000"/>
          <w:sz w:val="24"/>
        </w:rPr>
        <w:t xml:space="preserve"> </w:t>
      </w:r>
      <m:oMath>
        <m:sSubSup>
          <m:e>
            <m:r>
              <m:t>M</m:t>
            </m:r>
          </m:e>
          <m:sub>
            <m:r>
              <m:t>i</m:t>
            </m:r>
          </m:sub>
          <m:sup>
            <m:r>
              <m:rPr>
                <m:sty m:val="p"/>
              </m:rPr>
              <m:t>(</m:t>
            </m:r>
            <m:r>
              <m:t>m</m:t>
            </m:r>
            <m:r>
              <m:rPr>
                <m:sty m:val="p"/>
              </m:rPr>
              <m:t>)</m:t>
            </m:r>
          </m:sup>
        </m:sSubSup>
        <m:r>
          <m:rPr>
            <m:sty m:val="p"/>
          </m:rPr>
          <m:t>∈</m:t>
        </m:r>
        <m:r>
          <m:rPr>
            <m:sty m:val="p"/>
          </m:rPr>
          <m:t>{</m:t>
        </m:r>
        <m:r>
          <m:t>0</m:t>
        </m:r>
        <m:r>
          <m:rPr>
            <m:sty m:val="p"/>
          </m:rPr>
          <m:t>,</m:t>
        </m:r>
        <m:r>
          <m:t>1</m:t>
        </m:r>
        <m:sSup>
          <m:e>
            <m:r>
              <m:rPr>
                <m:sty m:val="p"/>
              </m:rPr>
              <m:t>}</m:t>
            </m:r>
          </m:e>
          <m:sup>
            <m:r>
              <m:t>T</m:t>
            </m:r>
          </m:sup>
        </m:sSup>
      </m:oMath>
      <w:r>
        <w:rPr>
          <w:rFonts w:hint="eastAsia" w:ascii="Times New Roman" w:hAnsi="Times New Roman" w:cs="Times New Roman" w:eastAsia="宋体"/>
          <w:color w:val="000000"/>
          <w:sz w:val="24"/>
        </w:rPr>
        <w:t xml:space="preserve">，其中</w:t>
      </w:r>
      <w:r>
        <w:rPr>
          <w:rFonts w:ascii="Times New Roman" w:hAnsi="Times New Roman" w:cs="Times New Roman" w:eastAsia="宋体"/>
          <w:color w:val="000000"/>
          <w:sz w:val="24"/>
        </w:rPr>
        <w:t xml:space="preserve"> </w:t>
      </w:r>
      <m:oMath>
        <m:r>
          <m:t>T</m:t>
        </m:r>
        <m:r>
          <m:rPr>
            <m:sty m:val="p"/>
          </m:rPr>
          <m:t>=</m:t>
        </m:r>
        <m:r>
          <m:t>50</m:t>
        </m:r>
      </m:oMath>
      <w:r>
        <w:rPr>
          <w:rFonts w:hint="eastAsia" w:ascii="Times New Roman" w:hAnsi="Times New Roman" w:cs="Times New Roman" w:eastAsia="宋体"/>
          <w:color w:val="000000"/>
          <w:sz w:val="24"/>
        </w:rPr>
        <w:t xml:space="preserve">，</w:t>
      </w:r>
      <m:oMath>
        <m:sSub>
          <m:e>
            <m:r>
              <m:t>d</m:t>
            </m:r>
          </m:e>
          <m:sub>
            <m:r>
              <m:t>t</m:t>
            </m:r>
          </m:sub>
        </m:sSub>
        <m:r>
          <m:rPr>
            <m:sty m:val="p"/>
          </m:rPr>
          <m:t>=</m:t>
        </m:r>
        <m:r>
          <m:t>768</m:t>
        </m:r>
      </m:oMath>
      <w:r>
        <w:rPr>
          <w:rFonts w:ascii="Times New Roman" w:hAnsi="Times New Roman" w:cs="Times New Roman" w:eastAsia="宋体"/>
          <w:color w:val="000000"/>
          <w:sz w:val="24"/>
        </w:rPr>
        <w:t xml:space="preserve">、</w:t>
      </w:r>
      <m:oMath>
        <m:sSub>
          <m:e>
            <m:r>
              <m:t>d</m:t>
            </m:r>
          </m:e>
          <m:sub>
            <m:r>
              <m:t>a</m:t>
            </m:r>
          </m:sub>
        </m:sSub>
        <m:r>
          <m:rPr>
            <m:sty m:val="p"/>
          </m:rPr>
          <m:t>=</m:t>
        </m:r>
        <m:r>
          <m:t>74</m:t>
        </m:r>
      </m:oMath>
      <w:r>
        <w:rPr>
          <w:rFonts w:ascii="Times New Roman" w:hAnsi="Times New Roman" w:cs="Times New Roman" w:eastAsia="宋体"/>
          <w:color w:val="000000"/>
          <w:sz w:val="24"/>
        </w:rPr>
        <w:t xml:space="preserve">、</w:t>
      </w:r>
      <m:oMath>
        <m:sSub>
          <m:e>
            <m:r>
              <m:t>d</m:t>
            </m:r>
          </m:e>
          <m:sub>
            <m:r>
              <m:t>v</m:t>
            </m:r>
          </m:sub>
        </m:sSub>
        <m:r>
          <m:rPr>
            <m:sty m:val="p"/>
          </m:rPr>
          <m:t>=</m:t>
        </m:r>
        <m:r>
          <m:t>35</m:t>
        </m:r>
      </m:oMath>
      <w:r>
        <w:rPr>
          <w:rFonts w:hint="eastAsia" w:ascii="Times New Roman" w:hAnsi="Times New Roman" w:cs="Times New Roman" w:eastAsia="宋体"/>
          <w:color w:val="000000"/>
          <w:sz w:val="24"/>
        </w:rPr>
        <w:t xml:space="preserve">。各模态经独立线性编码器映射至64维隐空间（ReLU激活，Dropout比例0.2），按观测掩码作掩码平均池化得到模态表示</w:t>
      </w:r>
      <w:r>
        <w:rPr>
          <w:rFonts w:ascii="Times New Roman" w:hAnsi="Times New Roman" w:cs="Times New Roman" w:eastAsia="宋体"/>
          <w:color w:val="000000"/>
          <w:sz w:val="24"/>
        </w:rPr>
        <w:t xml:space="preserve"> </w:t>
      </w:r>
      <m:oMath>
        <m:sSubSup>
          <m:e>
            <m:r>
              <m:t>h</m:t>
            </m:r>
          </m:e>
          <m:sub>
            <m:r>
              <m:t>i</m:t>
            </m:r>
          </m:sub>
          <m:sup>
            <m:r>
              <m:rPr>
                <m:sty m:val="p"/>
              </m:rPr>
              <m:t>(</m:t>
            </m:r>
            <m:r>
              <m:t>m</m:t>
            </m:r>
            <m:r>
              <m:rPr>
                <m:sty m:val="p"/>
              </m:rPr>
              <m:t>)</m:t>
            </m:r>
          </m:sup>
        </m:sSubSup>
      </m:oMath>
      <w:r>
        <w:rPr>
          <w:rFonts w:hint="eastAsia" w:ascii="Times New Roman" w:hAnsi="Times New Roman" w:cs="Times New Roman" w:eastAsia="宋体"/>
          <w:color w:val="000000"/>
          <w:sz w:val="24"/>
        </w:rPr>
        <w:t xml:space="preserve">，三者拼接为192维向量后经128维融合层，分别接入三分类头与强度回归头。按上述结构逐层累计，参数量为</w:t>
      </w:r>
      <w:r>
        <w:rPr>
          <w:rFonts w:ascii="Times New Roman" w:hAnsi="Times New Roman" w:cs="Times New Roman" w:eastAsia="宋体"/>
          <w:color w:val="000000"/>
          <w:sz w:val="24"/>
        </w:rPr>
        <w:t xml:space="preserve"> </w:t>
      </w:r>
      <m:oMath>
        <m:r>
          <m:t>49</m:t>
        </m:r>
        <m:r>
          <m:rPr>
            <m:sty m:val="p"/>
          </m:rPr>
          <m:t>,</m:t>
        </m:r>
        <m:r>
          <m:t>216</m:t>
        </m:r>
        <m:r>
          <m:rPr>
            <m:sty m:val="p"/>
          </m:rPr>
          <m:t>+</m:t>
        </m:r>
        <m:r>
          <m:t>4</m:t>
        </m:r>
        <m:r>
          <m:rPr>
            <m:sty m:val="p"/>
          </m:rPr>
          <m:t>,</m:t>
        </m:r>
        <m:r>
          <m:t>800</m:t>
        </m:r>
        <m:r>
          <m:rPr>
            <m:sty m:val="p"/>
          </m:rPr>
          <m:t>+</m:t>
        </m:r>
        <m:r>
          <m:t>2</m:t>
        </m:r>
        <m:r>
          <m:rPr>
            <m:sty m:val="p"/>
          </m:rPr>
          <m:t>,</m:t>
        </m:r>
        <m:r>
          <m:t>304</m:t>
        </m:r>
        <m:r>
          <m:rPr>
            <m:sty m:val="p"/>
          </m:rPr>
          <m:t>+</m:t>
        </m:r>
        <m:r>
          <m:t>24</m:t>
        </m:r>
        <m:r>
          <m:rPr>
            <m:sty m:val="p"/>
          </m:rPr>
          <m:t>,</m:t>
        </m:r>
        <m:r>
          <m:t>704</m:t>
        </m:r>
        <m:r>
          <m:rPr>
            <m:sty m:val="p"/>
          </m:rPr>
          <m:t>+</m:t>
        </m:r>
        <m:r>
          <m:t>387</m:t>
        </m:r>
        <m:r>
          <m:rPr>
            <m:sty m:val="p"/>
          </m:rPr>
          <m:t>+</m:t>
        </m:r>
        <m:r>
          <m:t>129</m:t>
        </m:r>
        <m:r>
          <m:rPr>
            <m:sty m:val="p"/>
          </m:rPr>
          <m:t>=</m:t>
        </m:r>
        <m:r>
          <m:t>81</m:t>
        </m:r>
        <m:r>
          <m:rPr>
            <m:sty m:val="p"/>
          </m:rPr>
          <m:t>,</m:t>
        </m:r>
        <m:r>
          <m:t>540</m:t>
        </m:r>
      </m:oMath>
      <w:r>
        <w:rPr>
          <w:rFonts w:hint="eastAsia" w:ascii="Times New Roman" w:hAnsi="Times New Roman" w:cs="Times New Roman" w:eastAsia="宋体"/>
          <w:color w:val="000000"/>
          <w:sz w:val="24"/>
        </w:rPr>
        <w:t xml:space="preserve">，与模型登记值一致。</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解释采用问题二主种子20260924的冻结权重，标准化参数沿用问题二在训练集上的拟合结果，推理全程处于</w:t>
      </w:r>
      <w:r>
        <w:rPr>
          <w:rFonts w:ascii="Times New Roman" w:hAnsi="Times New Roman" w:cs="Times New Roman" w:eastAsia="宋体"/>
          <w:color w:val="000000"/>
          <w:sz w:val="24"/>
        </w:rPr>
        <w:t xml:space="preserve"> </w:t>
      </w:r>
      <w:r>
        <w:rPr>
          <w:rStyle w:val="VerbatimChar"/>
          <w:rFonts w:ascii="Times New Roman" w:hAnsi="Times New Roman" w:cs="Times New Roman" w:eastAsia="宋体"/>
          <w:color w:val="000000"/>
          <w:sz w:val="24"/>
        </w:rPr>
        <w:t xml:space="preserve">eval()</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与</w:t>
      </w:r>
      <w:r>
        <w:rPr>
          <w:rFonts w:ascii="Times New Roman" w:hAnsi="Times New Roman" w:cs="Times New Roman" w:eastAsia="宋体"/>
          <w:color w:val="000000"/>
          <w:sz w:val="24"/>
        </w:rPr>
        <w:t xml:space="preserve"> </w:t>
      </w:r>
      <w:r>
        <w:rPr>
          <w:rStyle w:val="VerbatimChar"/>
          <w:rFonts w:ascii="Times New Roman" w:hAnsi="Times New Roman" w:cs="Times New Roman" w:eastAsia="宋体"/>
          <w:color w:val="000000"/>
          <w:sz w:val="24"/>
        </w:rPr>
        <w:t xml:space="preserve">no_grad()</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模式，权重不作任何更新。该权重在附件2验证集上的准确率为0.6264，与表6-1中静态拼接模型的验证集结果一致，表明解释所依托的推理路径与问题二完全相同。</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该结构的两项性质直接制约解释结果的形态。其一，掩码平均池化对时间维作均匀聚合，单一位置在池化表示中的权重约为有效长度的倒数，位置级扰动的边际效应因而天然偏小。其二，模型不含样本级动态门控，跨模态交互仅发生于拼接后的融合层，因此对单一模态的整体遮蔽能够较为直接地反映该模态表示对输出的作用。</w:t>
      </w:r>
    </w:p>
    <w:bookmarkEnd w:id="10"/>
    <w:bookmarkStart w:id="14" w:name="模态贡献度计算方法与解释对象"/>
    <w:p>
      <w:pPr>
        <w:pStyle w:val="Heading3"/>
      </w:pPr>
      <w:r>
        <w:rPr>
          <w:rFonts w:ascii="Times New Roman" w:hAnsi="Times New Roman" w:cs="Times New Roman" w:eastAsia="黑体"/>
          <w:b/>
          <w:color w:val="000000"/>
          <w:sz w:val="24"/>
        </w:rPr>
        <w:t xml:space="preserve">7.1.3 </w:t>
      </w:r>
      <w:r>
        <w:rPr>
          <w:rFonts w:hint="eastAsia" w:ascii="Times New Roman" w:hAnsi="Times New Roman" w:cs="Times New Roman" w:eastAsia="黑体"/>
          <w:b/>
          <w:color w:val="000000"/>
          <w:sz w:val="24"/>
        </w:rPr>
        <w:t xml:space="preserve">模态贡献度计算方法与解释对象</w:t>
      </w:r>
    </w:p>
    <w:p>
      <w:pPr>
        <w:pStyle w:val="FirstParagraph"/>
        <w:spacing w:before="0" w:after="0" w:line="360" w:lineRule="auto"/>
        <w:ind w:firstLine="480"/>
        <w:jc w:val="both"/>
      </w:pPr>
      <w:r>
        <w:rPr>
          <w:rFonts w:hint="eastAsia" w:ascii="Times New Roman" w:hAnsi="Times New Roman" w:cs="Times New Roman" w:eastAsia="宋体"/>
          <w:color w:val="000000"/>
          <w:sz w:val="24"/>
        </w:rPr>
        <w:t xml:space="preserve">本文采用基于扰动的遮蔽法（occlusion）[1]计算贡献。该方法仅作用于输入副本与观测掩码，与模型“三模态张量＋观测掩码”的输入接口天然兼容，不需要改动网络结构，也不依赖梯度的可得性与平滑性；同时，模态级遮蔽与第六章整条模态缺失实验采用同一操作，两章结果可以在同一口径下对照。</w:t>
      </w:r>
    </w:p>
    <w:p>
      <w:pPr>
        <w:pStyle w:val="BodyText"/>
        <w:spacing w:before="0" w:after="0" w:line="360" w:lineRule="auto"/>
        <w:ind w:firstLine="480"/>
        <w:jc w:val="both"/>
      </w:pPr>
      <w:r>
        <w:rPr>
          <w:rFonts w:hint="eastAsia" w:ascii="Times New Roman" w:hAnsi="Times New Roman" w:cs="Times New Roman" w:eastAsia="宋体"/>
          <w:b/>
          <w:bCs/>
          <w:color w:val="000000"/>
          <w:sz w:val="24"/>
        </w:rPr>
        <w:t xml:space="preserve">模态级基线。</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对模态</w:t>
      </w:r>
      <w:r>
        <w:rPr>
          <w:rFonts w:ascii="Times New Roman" w:hAnsi="Times New Roman" w:cs="Times New Roman" w:eastAsia="宋体"/>
          <w:color w:val="000000"/>
          <w:sz w:val="24"/>
        </w:rPr>
        <w:t xml:space="preserve"> </w:t>
      </w:r>
      <m:oMath>
        <m:r>
          <m:t>m</m:t>
        </m:r>
        <m:r>
          <m:rPr>
            <m:sty m:val="p"/>
          </m:rPr>
          <m:t>∈</m:t>
        </m:r>
        <m:r>
          <m:rPr>
            <m:sty m:val="p"/>
          </m:rPr>
          <m:t>{</m:t>
        </m:r>
        <m:r>
          <m:t>t</m:t>
        </m:r>
        <m:r>
          <m:rPr>
            <m:sty m:val="p"/>
          </m:rPr>
          <m:t>,</m:t>
        </m:r>
        <m:r>
          <m:t>a</m:t>
        </m:r>
        <m:r>
          <m:rPr>
            <m:sty m:val="p"/>
          </m:rPr>
          <m:t>,</m:t>
        </m:r>
        <m:r>
          <m:t>v</m:t>
        </m:r>
        <m:r>
          <m:rPr>
            <m:sty m:val="p"/>
          </m:rPr>
          <m:t>}</m:t>
        </m:r>
      </m:oMath>
      <w:r>
        <w:rPr>
          <w:rFonts w:hint="eastAsia" w:ascii="Times New Roman" w:hAnsi="Times New Roman" w:cs="Times New Roman" w:eastAsia="宋体"/>
          <w:color w:val="000000"/>
          <w:sz w:val="24"/>
        </w:rPr>
        <w:t xml:space="preserve">（依次表示文本、音频、视觉），将其观测掩码整体置为无效、对应输入置零，其余输入保持不变，记遮蔽后预测类别的概率为</w:t>
      </w:r>
      <w:r>
        <w:rPr>
          <w:rFonts w:ascii="Times New Roman" w:hAnsi="Times New Roman" w:cs="Times New Roman" w:eastAsia="宋体"/>
          <w:color w:val="000000"/>
          <w:sz w:val="24"/>
        </w:rPr>
        <w:t xml:space="preserve"> </w:t>
      </w:r>
      <m:oMath>
        <m:sSubSup>
          <m:e>
            <m:r>
              <m:t>p</m:t>
            </m:r>
          </m:e>
          <m:sub>
            <m:r>
              <m:t>i</m:t>
            </m:r>
          </m:sub>
          <m:sup>
            <m:r>
              <m:rPr>
                <m:sty m:val="p"/>
              </m:rPr>
              <m:t>(</m:t>
            </m:r>
            <m:r>
              <m:rPr>
                <m:sty m:val="p"/>
              </m:rPr>
              <m:t>−</m:t>
            </m:r>
            <m:r>
              <m:t>m</m:t>
            </m:r>
            <m:r>
              <m:rPr>
                <m:sty m:val="p"/>
              </m:rPr>
              <m:t>)</m:t>
            </m:r>
          </m:sup>
        </m:sSubSup>
        <m:r>
          <m:rPr>
            <m:sty m:val="p"/>
          </m:rPr>
          <m:t>(</m:t>
        </m:r>
        <m:sSub>
          <m:e>
            <m:acc>
              <m:accPr>
                <m:chr m:val="̂"/>
              </m:accPr>
              <m:e>
                <m:r>
                  <m:t>y</m:t>
                </m:r>
              </m:e>
            </m:acc>
          </m:e>
          <m:sub>
            <m:r>
              <m:t>i</m:t>
            </m:r>
          </m:sub>
        </m:sSub>
        <m:r>
          <m:rPr>
            <m:sty m:val="p"/>
          </m:rPr>
          <m:t>)</m:t>
        </m:r>
      </m:oMath>
      <w:r>
        <w:rPr>
          <w:rFonts w:hint="eastAsia" w:ascii="Times New Roman" w:hAnsi="Times New Roman" w:cs="Times New Roman" w:eastAsia="宋体"/>
          <w:color w:val="000000"/>
          <w:sz w:val="24"/>
        </w:rPr>
        <w:t xml:space="preserve">，强度预测为</w:t>
      </w:r>
      <w:r>
        <w:rPr>
          <w:rFonts w:ascii="Times New Roman" w:hAnsi="Times New Roman" w:cs="Times New Roman" w:eastAsia="宋体"/>
          <w:color w:val="000000"/>
          <w:sz w:val="24"/>
        </w:rPr>
        <w:t xml:space="preserve"> </w:t>
      </w:r>
      <m:oMath>
        <m:sSubSup>
          <m:e>
            <m:acc>
              <m:accPr>
                <m:chr m:val="̂"/>
              </m:accPr>
              <m:e>
                <m:r>
                  <m:t>r</m:t>
                </m:r>
              </m:e>
            </m:acc>
          </m:e>
          <m:sub>
            <m:r>
              <m:t>i</m:t>
            </m:r>
          </m:sub>
          <m:sup>
            <m:r>
              <m:rPr>
                <m:sty m:val="p"/>
              </m:rPr>
              <m:t>(</m:t>
            </m:r>
            <m:r>
              <m:rPr>
                <m:sty m:val="p"/>
              </m:rPr>
              <m:t>−</m:t>
            </m:r>
            <m:r>
              <m:t>m</m:t>
            </m:r>
            <m:r>
              <m:rPr>
                <m:sty m:val="p"/>
              </m:rPr>
              <m:t>)</m:t>
            </m:r>
          </m:sup>
        </m:sSubSup>
      </m:oMath>
      <w:r>
        <w:rPr>
          <w:rFonts w:ascii="Times New Roman" w:hAnsi="Times New Roman" w:cs="Times New Roman" w:eastAsia="宋体"/>
          <w:color w:val="000000"/>
          <w:sz w:val="24"/>
        </w:rPr>
        <w:t xml:space="preserve">。</w:t>
      </w:r>
    </w:p>
    <w:p>
      <w:pPr>
        <w:pStyle w:val="BodyText"/>
        <w:spacing w:before="0" w:after="0" w:line="360" w:lineRule="auto"/>
        <w:ind w:firstLine="480"/>
        <w:jc w:val="both"/>
      </w:pPr>
      <w:r>
        <w:rPr>
          <w:rFonts w:hint="eastAsia" w:ascii="Times New Roman" w:hAnsi="Times New Roman" w:cs="Times New Roman" w:eastAsia="宋体"/>
          <w:b/>
          <w:bCs/>
          <w:color w:val="000000"/>
          <w:sz w:val="24"/>
        </w:rPr>
        <w:t xml:space="preserve">分类贡献。</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以完整输入下的预测类别为固定目标，定义</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024"/>
        <w:gridCol w:w="3024"/>
        <w:gridCol w:w="3024"/>
      </w:tblGrid>
      <w:tr>
        <w:tc>
          <w:tcPr>
            <w:tcW w:type="dxa" w:w="850"/>
            <w:vAlign w:val="center"/>
          </w:tcPr>
          <w:p>
            <w:pPr>
              <w:spacing w:before="80" w:after="80" w:line="240" w:lineRule="auto"/>
              <w:ind w:firstLine="0"/>
            </w:pPr>
          </w:p>
        </w:tc>
        <w:tc>
          <w:tcPr>
            <w:tcW w:type="dxa" w:w="7370"/>
            <w:vAlign w:val="center"/>
          </w:tcPr>
          <w:p>
            <w:pPr>
              <w:spacing w:before="80" w:after="80" w:line="240" w:lineRule="auto"/>
              <w:ind w:firstLine="0"/>
              <w:jc w:val="center"/>
            </w:pPr>
            <m:oMathPara>
              <m:oMathParaPr>
                <m:jc m:val="center"/>
              </m:oMathParaPr>
              <m:oMath>
                <m:sSubSup>
                  <m:e>
                    <m:r>
                      <m:rPr>
                        <m:sty m:val="p"/>
                      </m:rPr>
                      <m:t>Δ</m:t>
                    </m:r>
                  </m:e>
                  <m:sub>
                    <m:r>
                      <m:t>i</m:t>
                    </m:r>
                    <m:r>
                      <m:rPr>
                        <m:sty m:val="p"/>
                      </m:rPr>
                      <m:t>,</m:t>
                    </m:r>
                    <m:r>
                      <m:t>m</m:t>
                    </m:r>
                  </m:sub>
                  <m:sup>
                    <m:r>
                      <m:rPr>
                        <m:sty m:val="p"/>
                      </m:rPr>
                      <m:t>c</m:t>
                    </m:r>
                    <m:r>
                      <m:rPr>
                        <m:sty m:val="p"/>
                      </m:rPr>
                      <m:t>l</m:t>
                    </m:r>
                    <m:r>
                      <m:rPr>
                        <m:sty m:val="p"/>
                      </m:rPr>
                      <m:t>s</m:t>
                    </m:r>
                  </m:sup>
                </m:sSubSup>
                <m:r>
                  <m:rPr>
                    <m:sty m:val="p"/>
                  </m:rPr>
                  <m:t>=</m:t>
                </m:r>
                <m:sSubSup>
                  <m:e>
                    <m:r>
                      <m:t>p</m:t>
                    </m:r>
                  </m:e>
                  <m:sub>
                    <m:r>
                      <m:t>i</m:t>
                    </m:r>
                  </m:sub>
                  <m:sup>
                    <m:r>
                      <m:rPr>
                        <m:sty m:val="p"/>
                      </m:rPr>
                      <m:t>f</m:t>
                    </m:r>
                    <m:r>
                      <m:rPr>
                        <m:sty m:val="p"/>
                      </m:rPr>
                      <m:t>u</m:t>
                    </m:r>
                    <m:r>
                      <m:rPr>
                        <m:sty m:val="p"/>
                      </m:rPr>
                      <m:t>l</m:t>
                    </m:r>
                    <m:r>
                      <m:rPr>
                        <m:sty m:val="p"/>
                      </m:rPr>
                      <m:t>l</m:t>
                    </m:r>
                  </m:sup>
                </m:sSubSup>
                <m:r>
                  <m:rPr>
                    <m:sty m:val="p"/>
                  </m:rPr>
                  <m:t>(</m:t>
                </m:r>
                <m:sSub>
                  <m:e>
                    <m:acc>
                      <m:accPr>
                        <m:chr m:val="̂"/>
                      </m:accPr>
                      <m:e>
                        <m:r>
                          <m:t>y</m:t>
                        </m:r>
                      </m:e>
                    </m:acc>
                  </m:e>
                  <m:sub>
                    <m:r>
                      <m:t>i</m:t>
                    </m:r>
                  </m:sub>
                </m:sSub>
                <m:r>
                  <m:rPr>
                    <m:sty m:val="p"/>
                  </m:rPr>
                  <m:t>)</m:t>
                </m:r>
                <m:r>
                  <m:rPr>
                    <m:sty m:val="p"/>
                  </m:rPr>
                  <m:t>−</m:t>
                </m:r>
                <m:sSubSup>
                  <m:e>
                    <m:r>
                      <m:t>p</m:t>
                    </m:r>
                  </m:e>
                  <m:sub>
                    <m:r>
                      <m:t>i</m:t>
                    </m:r>
                  </m:sub>
                  <m:sup>
                    <m:r>
                      <m:rPr>
                        <m:sty m:val="p"/>
                      </m:rPr>
                      <m:t>(</m:t>
                    </m:r>
                    <m:r>
                      <m:rPr>
                        <m:sty m:val="p"/>
                      </m:rPr>
                      <m:t>−</m:t>
                    </m:r>
                    <m:r>
                      <m:t>m</m:t>
                    </m:r>
                    <m:r>
                      <m:rPr>
                        <m:sty m:val="p"/>
                      </m:rPr>
                      <m:t>)</m:t>
                    </m:r>
                  </m:sup>
                </m:sSubSup>
                <m:r>
                  <m:rPr>
                    <m:sty m:val="p"/>
                  </m:rPr>
                  <m:t>(</m:t>
                </m:r>
                <m:sSub>
                  <m:e>
                    <m:acc>
                      <m:accPr>
                        <m:chr m:val="̂"/>
                      </m:accPr>
                      <m:e>
                        <m:r>
                          <m:t>y</m:t>
                        </m:r>
                      </m:e>
                    </m:acc>
                  </m:e>
                  <m:sub>
                    <m:r>
                      <m:t>i</m:t>
                    </m:r>
                  </m:sub>
                </m:sSub>
                <m:r>
                  <m:rPr>
                    <m:sty m:val="p"/>
                  </m:rPr>
                  <m:t>)</m:t>
                </m:r>
                <m:r>
                  <m:rPr>
                    <m:sty m:val="p"/>
                  </m:rPr>
                  <m:t>.</m:t>
                </m:r>
              </m:oMath>
            </m:oMathPara>
          </w:p>
        </w:tc>
        <w:tc>
          <w:tcPr>
            <w:tcW w:type="dxa" w:w="850"/>
            <w:vAlign w:val="center"/>
          </w:tcPr>
          <w:p>
            <w:pPr>
              <w:spacing w:before="80" w:after="80" w:line="240" w:lineRule="auto"/>
              <w:ind w:firstLine="0"/>
              <w:jc w:val="right"/>
            </w:pPr>
            <w:r>
              <w:rPr>
                <w:rFonts w:ascii="Times New Roman" w:hAnsi="Times New Roman" w:cs="Times New Roman" w:eastAsia="宋体"/>
                <w:color w:val="000000"/>
                <w:sz w:val="24"/>
              </w:rPr>
              <w:t>(7-1)</w:t>
            </w:r>
          </w:p>
        </w:tc>
      </w:tr>
    </w:tbl>
    <w:p>
      <w:pPr>
        <w:pStyle w:val="BodyText"/>
        <w:spacing w:before="0" w:after="0" w:line="360" w:lineRule="auto"/>
        <w:ind w:firstLine="480"/>
        <w:jc w:val="both"/>
      </w:pPr>
      <m:oMath>
        <m:sSubSup>
          <m:e>
            <m:r>
              <m:rPr>
                <m:sty m:val="p"/>
              </m:rPr>
              <m:t>Δ</m:t>
            </m:r>
          </m:e>
          <m:sub>
            <m:r>
              <m:t>i</m:t>
            </m:r>
            <m:r>
              <m:rPr>
                <m:sty m:val="p"/>
              </m:rPr>
              <m:t>,</m:t>
            </m:r>
            <m:r>
              <m:t>m</m:t>
            </m:r>
          </m:sub>
          <m:sup>
            <m:r>
              <m:rPr>
                <m:sty m:val="p"/>
              </m:rPr>
              <m:t>c</m:t>
            </m:r>
            <m:r>
              <m:rPr>
                <m:sty m:val="p"/>
              </m:rPr>
              <m:t>l</m:t>
            </m:r>
            <m:r>
              <m:rPr>
                <m:sty m:val="p"/>
              </m:rPr>
              <m:t>s</m:t>
            </m:r>
          </m:sup>
        </m:sSubSup>
        <m:r>
          <m:rPr>
            <m:sty m:val="p"/>
          </m:rPr>
          <m:t>&gt;</m:t>
        </m:r>
        <m:r>
          <m:t>0</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表示移除模态</w:t>
      </w:r>
      <w:r>
        <w:rPr>
          <w:rFonts w:ascii="Times New Roman" w:hAnsi="Times New Roman" w:cs="Times New Roman" w:eastAsia="宋体"/>
          <w:color w:val="000000"/>
          <w:sz w:val="24"/>
        </w:rPr>
        <w:t xml:space="preserve"> </w:t>
      </w:r>
      <m:oMath>
        <m:r>
          <m:t>m</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后模型对</w:t>
      </w:r>
      <w:r>
        <w:rPr>
          <w:rFonts w:ascii="Times New Roman" w:hAnsi="Times New Roman" w:cs="Times New Roman" w:eastAsia="宋体"/>
          <w:color w:val="000000"/>
          <w:sz w:val="24"/>
        </w:rPr>
        <w:t xml:space="preserve"> </w:t>
      </w:r>
      <m:oMath>
        <m:sSub>
          <m:e>
            <m:acc>
              <m:accPr>
                <m:chr m:val="̂"/>
              </m:accPr>
              <m:e>
                <m:r>
                  <m:t>y</m:t>
                </m:r>
              </m:e>
            </m:acc>
          </m:e>
          <m:sub>
            <m:r>
              <m:t>i</m:t>
            </m:r>
          </m:sub>
        </m:sSub>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的置信度下降，即该模态支持当前预测；</w:t>
      </w:r>
      <m:oMath>
        <m:sSubSup>
          <m:e>
            <m:r>
              <m:rPr>
                <m:sty m:val="p"/>
              </m:rPr>
              <m:t>Δ</m:t>
            </m:r>
          </m:e>
          <m:sub>
            <m:r>
              <m:t>i</m:t>
            </m:r>
            <m:r>
              <m:rPr>
                <m:sty m:val="p"/>
              </m:rPr>
              <m:t>,</m:t>
            </m:r>
            <m:r>
              <m:t>m</m:t>
            </m:r>
          </m:sub>
          <m:sup>
            <m:r>
              <m:rPr>
                <m:sty m:val="p"/>
              </m:rPr>
              <m:t>c</m:t>
            </m:r>
            <m:r>
              <m:rPr>
                <m:sty m:val="p"/>
              </m:rPr>
              <m:t>l</m:t>
            </m:r>
            <m:r>
              <m:rPr>
                <m:sty m:val="p"/>
              </m:rPr>
              <m:t>s</m:t>
            </m:r>
          </m:sup>
        </m:sSubSup>
        <m:r>
          <m:rPr>
            <m:sty m:val="p"/>
          </m:rPr>
          <m:t>&lt;</m:t>
        </m:r>
        <m:r>
          <m:t>0</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表示该模态对当前预测起抑制作用。目标类别始终固定为</w:t>
      </w:r>
      <w:r>
        <w:rPr>
          <w:rFonts w:ascii="Times New Roman" w:hAnsi="Times New Roman" w:cs="Times New Roman" w:eastAsia="宋体"/>
          <w:color w:val="000000"/>
          <w:sz w:val="24"/>
        </w:rPr>
        <w:t xml:space="preserve"> </w:t>
      </w:r>
      <m:oMath>
        <m:sSub>
          <m:e>
            <m:acc>
              <m:accPr>
                <m:chr m:val="̂"/>
              </m:accPr>
              <m:e>
                <m:r>
                  <m:t>y</m:t>
                </m:r>
              </m:e>
            </m:acc>
          </m:e>
          <m:sub>
            <m:r>
              <m:t>i</m:t>
            </m:r>
          </m:sub>
        </m:sSub>
      </m:oMath>
      <w:r>
        <w:rPr>
          <w:rFonts w:hint="eastAsia" w:ascii="Times New Roman" w:hAnsi="Times New Roman" w:cs="Times New Roman" w:eastAsia="宋体"/>
          <w:color w:val="000000"/>
          <w:sz w:val="24"/>
        </w:rPr>
        <w:t xml:space="preserve">，不随遮蔽后的最大后验类别变化，以保证三种模态的贡献针对同一被解释对象，具有可比性。</w:t>
      </w:r>
    </w:p>
    <w:p>
      <w:pPr>
        <w:pStyle w:val="BodyText"/>
        <w:spacing w:before="0" w:after="0" w:line="360" w:lineRule="auto"/>
        <w:ind w:firstLine="480"/>
        <w:jc w:val="both"/>
      </w:pPr>
      <w:r>
        <w:rPr>
          <w:rFonts w:hint="eastAsia" w:ascii="Times New Roman" w:hAnsi="Times New Roman" w:cs="Times New Roman" w:eastAsia="宋体"/>
          <w:b/>
          <w:bCs/>
          <w:color w:val="000000"/>
          <w:sz w:val="24"/>
        </w:rPr>
        <w:t xml:space="preserve">强度贡献。</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为使“支持当前强度输出”在符号上统一为正，定义</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024"/>
        <w:gridCol w:w="3024"/>
        <w:gridCol w:w="3024"/>
      </w:tblGrid>
      <w:tr>
        <w:tc>
          <w:tcPr>
            <w:tcW w:type="dxa" w:w="850"/>
            <w:vAlign w:val="center"/>
          </w:tcPr>
          <w:p>
            <w:pPr>
              <w:spacing w:before="80" w:after="80" w:line="240" w:lineRule="auto"/>
              <w:ind w:firstLine="0"/>
            </w:pPr>
          </w:p>
        </w:tc>
        <w:tc>
          <w:tcPr>
            <w:tcW w:type="dxa" w:w="7370"/>
            <w:vAlign w:val="center"/>
          </w:tcPr>
          <w:p>
            <w:pPr>
              <w:spacing w:before="80" w:after="80" w:line="240" w:lineRule="auto"/>
              <w:ind w:firstLine="0"/>
              <w:jc w:val="center"/>
            </w:pPr>
            <m:oMathPara>
              <m:oMathParaPr>
                <m:jc m:val="center"/>
              </m:oMathParaPr>
              <m:oMath>
                <m:sSubSup>
                  <m:e>
                    <m:r>
                      <m:rPr>
                        <m:sty m:val="p"/>
                      </m:rPr>
                      <m:t>Δ</m:t>
                    </m:r>
                  </m:e>
                  <m:sub>
                    <m:r>
                      <m:t>i</m:t>
                    </m:r>
                    <m:r>
                      <m:rPr>
                        <m:sty m:val="p"/>
                      </m:rPr>
                      <m:t>,</m:t>
                    </m:r>
                    <m:r>
                      <m:t>m</m:t>
                    </m:r>
                  </m:sub>
                  <m:sup>
                    <m:r>
                      <m:rPr>
                        <m:sty m:val="p"/>
                      </m:rPr>
                      <m:t>i</m:t>
                    </m:r>
                    <m:r>
                      <m:rPr>
                        <m:sty m:val="p"/>
                      </m:rPr>
                      <m:t>n</m:t>
                    </m:r>
                    <m:r>
                      <m:rPr>
                        <m:sty m:val="p"/>
                      </m:rPr>
                      <m:t>t</m:t>
                    </m:r>
                  </m:sup>
                </m:sSubSup>
                <m:r>
                  <m:rPr>
                    <m:sty m:val="p"/>
                  </m:rPr>
                  <m:t>=</m:t>
                </m:r>
                <m:r>
                  <m:rPr>
                    <m:sty m:val="p"/>
                  </m:rPr>
                  <m:t>sign</m:t>
                </m:r>
                <m:r>
                  <m:t>​</m:t>
                </m:r>
                <m:d>
                  <m:dPr>
                    <m:begChr m:val="("/>
                    <m:sepChr m:val=""/>
                    <m:endChr m:val=")"/>
                    <m:grow/>
                  </m:dPr>
                  <m:e>
                    <m:sSubSup>
                      <m:e>
                        <m:acc>
                          <m:accPr>
                            <m:chr m:val="̂"/>
                          </m:accPr>
                          <m:e>
                            <m:r>
                              <m:t>r</m:t>
                            </m:r>
                          </m:e>
                        </m:acc>
                      </m:e>
                      <m:sub>
                        <m:r>
                          <m:t>i</m:t>
                        </m:r>
                      </m:sub>
                      <m:sup>
                        <m:r>
                          <m:rPr>
                            <m:sty m:val="p"/>
                          </m:rPr>
                          <m:t>f</m:t>
                        </m:r>
                        <m:r>
                          <m:rPr>
                            <m:sty m:val="p"/>
                          </m:rPr>
                          <m:t>u</m:t>
                        </m:r>
                        <m:r>
                          <m:rPr>
                            <m:sty m:val="p"/>
                          </m:rPr>
                          <m:t>l</m:t>
                        </m:r>
                        <m:r>
                          <m:rPr>
                            <m:sty m:val="p"/>
                          </m:rPr>
                          <m:t>l</m:t>
                        </m:r>
                      </m:sup>
                    </m:sSubSup>
                  </m:e>
                </m:d>
                <m:d>
                  <m:dPr>
                    <m:begChr m:val="("/>
                    <m:sepChr m:val=""/>
                    <m:endChr m:val=")"/>
                    <m:grow/>
                  </m:dPr>
                  <m:e>
                    <m:sSubSup>
                      <m:e>
                        <m:acc>
                          <m:accPr>
                            <m:chr m:val="̂"/>
                          </m:accPr>
                          <m:e>
                            <m:r>
                              <m:t>r</m:t>
                            </m:r>
                          </m:e>
                        </m:acc>
                      </m:e>
                      <m:sub>
                        <m:r>
                          <m:t>i</m:t>
                        </m:r>
                      </m:sub>
                      <m:sup>
                        <m:r>
                          <m:rPr>
                            <m:sty m:val="p"/>
                          </m:rPr>
                          <m:t>f</m:t>
                        </m:r>
                        <m:r>
                          <m:rPr>
                            <m:sty m:val="p"/>
                          </m:rPr>
                          <m:t>u</m:t>
                        </m:r>
                        <m:r>
                          <m:rPr>
                            <m:sty m:val="p"/>
                          </m:rPr>
                          <m:t>l</m:t>
                        </m:r>
                        <m:r>
                          <m:rPr>
                            <m:sty m:val="p"/>
                          </m:rPr>
                          <m:t>l</m:t>
                        </m:r>
                      </m:sup>
                    </m:sSubSup>
                    <m:r>
                      <m:rPr>
                        <m:sty m:val="p"/>
                      </m:rPr>
                      <m:t>−</m:t>
                    </m:r>
                    <m:sSubSup>
                      <m:e>
                        <m:acc>
                          <m:accPr>
                            <m:chr m:val="̂"/>
                          </m:accPr>
                          <m:e>
                            <m:r>
                              <m:t>r</m:t>
                            </m:r>
                          </m:e>
                        </m:acc>
                      </m:e>
                      <m:sub>
                        <m:r>
                          <m:t>i</m:t>
                        </m:r>
                      </m:sub>
                      <m:sup>
                        <m:r>
                          <m:rPr>
                            <m:sty m:val="p"/>
                          </m:rPr>
                          <m:t>(</m:t>
                        </m:r>
                        <m:r>
                          <m:rPr>
                            <m:sty m:val="p"/>
                          </m:rPr>
                          <m:t>−</m:t>
                        </m:r>
                        <m:r>
                          <m:t>m</m:t>
                        </m:r>
                        <m:r>
                          <m:rPr>
                            <m:sty m:val="p"/>
                          </m:rPr>
                          <m:t>)</m:t>
                        </m:r>
                      </m:sup>
                    </m:sSubSup>
                  </m:e>
                </m:d>
                <m:r>
                  <m:rPr>
                    <m:sty m:val="p"/>
                  </m:rPr>
                  <m:t>.</m:t>
                </m:r>
              </m:oMath>
            </m:oMathPara>
          </w:p>
        </w:tc>
        <w:tc>
          <w:tcPr>
            <w:tcW w:type="dxa" w:w="850"/>
            <w:vAlign w:val="center"/>
          </w:tcPr>
          <w:p>
            <w:pPr>
              <w:spacing w:before="80" w:after="80" w:line="240" w:lineRule="auto"/>
              <w:ind w:firstLine="0"/>
              <w:jc w:val="right"/>
            </w:pPr>
            <w:r>
              <w:rPr>
                <w:rFonts w:ascii="Times New Roman" w:hAnsi="Times New Roman" w:cs="Times New Roman" w:eastAsia="宋体"/>
                <w:color w:val="000000"/>
                <w:sz w:val="24"/>
              </w:rPr>
              <w:t>(7-2)</w:t>
            </w:r>
          </w:p>
        </w:tc>
      </w:tr>
    </w:tbl>
    <w:p>
      <w:pPr>
        <w:pStyle w:val="BodyText"/>
        <w:spacing w:before="0" w:after="0" w:line="360" w:lineRule="auto"/>
        <w:ind w:firstLine="480"/>
        <w:jc w:val="both"/>
      </w:pPr>
      <w:r>
        <w:rPr>
          <w:rFonts w:hint="eastAsia" w:ascii="Times New Roman" w:hAnsi="Times New Roman" w:cs="Times New Roman" w:eastAsia="宋体"/>
          <w:color w:val="000000"/>
          <w:sz w:val="24"/>
        </w:rPr>
        <w:t xml:space="preserve">当</w:t>
      </w:r>
      <w:r>
        <w:rPr>
          <w:rFonts w:ascii="Times New Roman" w:hAnsi="Times New Roman" w:cs="Times New Roman" w:eastAsia="宋体"/>
          <w:color w:val="000000"/>
          <w:sz w:val="24"/>
        </w:rPr>
        <w:t xml:space="preserve"> </w:t>
      </w:r>
      <m:oMath>
        <m:sSubSup>
          <m:e>
            <m:acc>
              <m:accPr>
                <m:chr m:val="̂"/>
              </m:accPr>
              <m:e>
                <m:r>
                  <m:t>r</m:t>
                </m:r>
              </m:e>
            </m:acc>
          </m:e>
          <m:sub>
            <m:r>
              <m:t>i</m:t>
            </m:r>
          </m:sub>
          <m:sup>
            <m:r>
              <m:rPr>
                <m:sty m:val="p"/>
              </m:rPr>
              <m:t>f</m:t>
            </m:r>
            <m:r>
              <m:rPr>
                <m:sty m:val="p"/>
              </m:rPr>
              <m:t>u</m:t>
            </m:r>
            <m:r>
              <m:rPr>
                <m:sty m:val="p"/>
              </m:rPr>
              <m:t>l</m:t>
            </m:r>
            <m:r>
              <m:rPr>
                <m:sty m:val="p"/>
              </m:rPr>
              <m:t>l</m:t>
            </m:r>
          </m:sup>
        </m:sSubSup>
        <m:r>
          <m:rPr>
            <m:sty m:val="p"/>
          </m:rPr>
          <m:t>&gt;</m:t>
        </m:r>
        <m:r>
          <m:t>0</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时，遮蔽导致强度减小记为支持；当</w:t>
      </w:r>
      <w:r>
        <w:rPr>
          <w:rFonts w:ascii="Times New Roman" w:hAnsi="Times New Roman" w:cs="Times New Roman" w:eastAsia="宋体"/>
          <w:color w:val="000000"/>
          <w:sz w:val="24"/>
        </w:rPr>
        <w:t xml:space="preserve"> </w:t>
      </w:r>
      <m:oMath>
        <m:sSubSup>
          <m:e>
            <m:acc>
              <m:accPr>
                <m:chr m:val="̂"/>
              </m:accPr>
              <m:e>
                <m:r>
                  <m:t>r</m:t>
                </m:r>
              </m:e>
            </m:acc>
          </m:e>
          <m:sub>
            <m:r>
              <m:t>i</m:t>
            </m:r>
          </m:sub>
          <m:sup>
            <m:r>
              <m:rPr>
                <m:sty m:val="p"/>
              </m:rPr>
              <m:t>f</m:t>
            </m:r>
            <m:r>
              <m:rPr>
                <m:sty m:val="p"/>
              </m:rPr>
              <m:t>u</m:t>
            </m:r>
            <m:r>
              <m:rPr>
                <m:sty m:val="p"/>
              </m:rPr>
              <m:t>l</m:t>
            </m:r>
            <m:r>
              <m:rPr>
                <m:sty m:val="p"/>
              </m:rPr>
              <m:t>l</m:t>
            </m:r>
          </m:sup>
        </m:sSubSup>
        <m:r>
          <m:rPr>
            <m:sty m:val="p"/>
          </m:rPr>
          <m:t>&lt;</m:t>
        </m:r>
        <m:r>
          <m:t>0</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时，遮蔽导致强度向零回退同样记为支持。</w:t>
      </w:r>
    </w:p>
    <w:p>
      <w:pPr>
        <w:pStyle w:val="BodyText"/>
        <w:spacing w:before="0" w:after="0" w:line="360" w:lineRule="auto"/>
        <w:ind w:firstLine="480"/>
        <w:jc w:val="both"/>
      </w:pPr>
      <w:r>
        <w:rPr>
          <w:rFonts w:hint="eastAsia" w:ascii="Times New Roman" w:hAnsi="Times New Roman" w:cs="Times New Roman" w:eastAsia="宋体"/>
          <w:b/>
          <w:bCs/>
          <w:color w:val="000000"/>
          <w:sz w:val="24"/>
        </w:rPr>
        <w:t xml:space="preserve">归一化与主要模态。</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为比较同一样本内三种模态的相对作用，定义样本内归一化贡献</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024"/>
        <w:gridCol w:w="3024"/>
        <w:gridCol w:w="3024"/>
      </w:tblGrid>
      <w:tr>
        <w:tc>
          <w:tcPr>
            <w:tcW w:type="dxa" w:w="850"/>
            <w:vAlign w:val="center"/>
          </w:tcPr>
          <w:p>
            <w:pPr>
              <w:spacing w:before="80" w:after="80" w:line="240" w:lineRule="auto"/>
              <w:ind w:firstLine="0"/>
            </w:pPr>
          </w:p>
        </w:tc>
        <w:tc>
          <w:tcPr>
            <w:tcW w:type="dxa" w:w="7370"/>
            <w:vAlign w:val="center"/>
          </w:tcPr>
          <w:p>
            <w:pPr>
              <w:spacing w:before="80" w:after="80" w:line="240" w:lineRule="auto"/>
              <w:ind w:firstLine="0"/>
              <w:jc w:val="center"/>
            </w:pPr>
            <m:oMathPara>
              <m:oMathParaPr>
                <m:jc m:val="center"/>
              </m:oMathParaPr>
              <m:oMath>
                <m:sSub>
                  <m:e>
                    <m:acc>
                      <m:accPr>
                        <m:chr m:val="̃"/>
                      </m:accPr>
                      <m:e>
                        <m:r>
                          <m:rPr>
                            <m:sty m:val="p"/>
                          </m:rPr>
                          <m:t>Δ</m:t>
                        </m:r>
                      </m:e>
                    </m:acc>
                  </m:e>
                  <m:sub>
                    <m:r>
                      <m:t>i</m:t>
                    </m:r>
                    <m:r>
                      <m:rPr>
                        <m:sty m:val="p"/>
                      </m:rPr>
                      <m:t>,</m:t>
                    </m:r>
                    <m:r>
                      <m:t>m</m:t>
                    </m:r>
                  </m:sub>
                </m:sSub>
                <m:r>
                  <m:rPr>
                    <m:sty m:val="p"/>
                  </m:rPr>
                  <m:t>=</m:t>
                </m:r>
                <m:f>
                  <m:fPr>
                    <m:type m:val="bar"/>
                  </m:fPr>
                  <m:num>
                    <m:sSub>
                      <m:e>
                        <m:r>
                          <m:rPr>
                            <m:sty m:val="p"/>
                          </m:rPr>
                          <m:t>Δ</m:t>
                        </m:r>
                      </m:e>
                      <m:sub>
                        <m:r>
                          <m:t>i</m:t>
                        </m:r>
                        <m:r>
                          <m:rPr>
                            <m:sty m:val="p"/>
                          </m:rPr>
                          <m:t>,</m:t>
                        </m:r>
                        <m:r>
                          <m:t>m</m:t>
                        </m:r>
                      </m:sub>
                    </m:sSub>
                  </m:num>
                  <m:den>
                    <m:nary>
                      <m:naryPr>
                        <m:chr m:val="∑"/>
                        <m:limLoc m:val="undOvr"/>
                        <m:subHide m:val="off"/>
                        <m:supHide m:val="on"/>
                      </m:naryPr>
                      <m:sub>
                        <m:r>
                          <m:t>k</m:t>
                        </m:r>
                        <m:r>
                          <m:rPr>
                            <m:sty m:val="p"/>
                          </m:rPr>
                          <m:t>∈</m:t>
                        </m:r>
                        <m:r>
                          <m:rPr>
                            <m:sty m:val="p"/>
                          </m:rPr>
                          <m:t>{</m:t>
                        </m:r>
                        <m:r>
                          <m:t>t</m:t>
                        </m:r>
                        <m:r>
                          <m:rPr>
                            <m:sty m:val="p"/>
                          </m:rPr>
                          <m:t>,</m:t>
                        </m:r>
                        <m:r>
                          <m:t>a</m:t>
                        </m:r>
                        <m:r>
                          <m:rPr>
                            <m:sty m:val="p"/>
                          </m:rPr>
                          <m:t>,</m:t>
                        </m:r>
                        <m:r>
                          <m:t>v</m:t>
                        </m:r>
                        <m:r>
                          <m:rPr>
                            <m:sty m:val="p"/>
                          </m:rPr>
                          <m:t>}</m:t>
                        </m:r>
                      </m:sub>
                      <m:sup>
                        <m:r>
                          <m:t>​</m:t>
                        </m:r>
                      </m:sup>
                      <m:e>
                        <m:d>
                          <m:dPr>
                            <m:begChr m:val="|"/>
                            <m:sepChr m:val=""/>
                            <m:endChr m:val="|"/>
                            <m:grow/>
                          </m:dPr>
                          <m:e>
                            <m:sSub>
                              <m:e>
                                <m:r>
                                  <m:rPr>
                                    <m:sty m:val="p"/>
                                  </m:rPr>
                                  <m:t>Δ</m:t>
                                </m:r>
                              </m:e>
                              <m:sub>
                                <m:r>
                                  <m:t>i</m:t>
                                </m:r>
                                <m:r>
                                  <m:rPr>
                                    <m:sty m:val="p"/>
                                  </m:rPr>
                                  <m:t>,</m:t>
                                </m:r>
                                <m:r>
                                  <m:t>k</m:t>
                                </m:r>
                              </m:sub>
                            </m:sSub>
                          </m:e>
                        </m:d>
                      </m:e>
                    </m:nary>
                  </m:den>
                </m:f>
                <m:r>
                  <m:rPr>
                    <m:sty m:val="p"/>
                  </m:rPr>
                  <m:t>,</m:t>
                </m:r>
              </m:oMath>
            </m:oMathPara>
          </w:p>
        </w:tc>
        <w:tc>
          <w:tcPr>
            <w:tcW w:type="dxa" w:w="850"/>
            <w:vAlign w:val="center"/>
          </w:tcPr>
          <w:p>
            <w:pPr>
              <w:spacing w:before="80" w:after="80" w:line="240" w:lineRule="auto"/>
              <w:ind w:firstLine="0"/>
              <w:jc w:val="right"/>
            </w:pPr>
            <w:r>
              <w:rPr>
                <w:rFonts w:ascii="Times New Roman" w:hAnsi="Times New Roman" w:cs="Times New Roman" w:eastAsia="宋体"/>
                <w:color w:val="000000"/>
                <w:sz w:val="24"/>
              </w:rPr>
              <w:t>(7-3)</w:t>
            </w:r>
          </w:p>
        </w:tc>
      </w:tr>
    </w:tbl>
    <w:p>
      <w:pPr>
        <w:pStyle w:val="BodyText"/>
        <w:spacing w:before="0" w:after="0" w:line="360" w:lineRule="auto"/>
        <w:ind w:firstLine="480"/>
        <w:jc w:val="both"/>
      </w:pPr>
      <w:r>
        <w:rPr>
          <w:rFonts w:hint="eastAsia" w:ascii="Times New Roman" w:hAnsi="Times New Roman" w:cs="Times New Roman" w:eastAsia="宋体"/>
          <w:color w:val="000000"/>
          <w:sz w:val="24"/>
        </w:rPr>
        <w:t xml:space="preserve">分母小于</w:t>
      </w:r>
      <w:r>
        <w:rPr>
          <w:rFonts w:ascii="Times New Roman" w:hAnsi="Times New Roman" w:cs="Times New Roman" w:eastAsia="宋体"/>
          <w:color w:val="000000"/>
          <w:sz w:val="24"/>
        </w:rPr>
        <w:t xml:space="preserve"> </w:t>
      </w:r>
      <m:oMath>
        <m:sSup>
          <m:e>
            <m:r>
              <m:t>10</m:t>
            </m:r>
          </m:e>
          <m:sup>
            <m:r>
              <m:rPr>
                <m:sty m:val="p"/>
              </m:rPr>
              <m:t>−</m:t>
            </m:r>
            <m:r>
              <m:t>9</m:t>
            </m:r>
          </m:sup>
        </m:sSup>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时整组置零。未归一化原值同时保留，以免三种模态贡献均接近零的样本在归一化后出现虚假的主导模态。主要贡献模态按分类贡献的绝对值确定：</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024"/>
        <w:gridCol w:w="3024"/>
        <w:gridCol w:w="3024"/>
      </w:tblGrid>
      <w:tr>
        <w:tc>
          <w:tcPr>
            <w:tcW w:type="dxa" w:w="850"/>
            <w:vAlign w:val="center"/>
          </w:tcPr>
          <w:p>
            <w:pPr>
              <w:spacing w:before="80" w:after="80" w:line="240" w:lineRule="auto"/>
              <w:ind w:firstLine="0"/>
            </w:pPr>
          </w:p>
        </w:tc>
        <w:tc>
          <w:tcPr>
            <w:tcW w:type="dxa" w:w="7370"/>
            <w:vAlign w:val="center"/>
          </w:tcPr>
          <w:p>
            <w:pPr>
              <w:spacing w:before="80" w:after="80" w:line="240" w:lineRule="auto"/>
              <w:ind w:firstLine="0"/>
              <w:jc w:val="center"/>
            </w:pPr>
            <m:oMathPara>
              <m:oMathParaPr>
                <m:jc m:val="center"/>
              </m:oMathParaPr>
              <m:oMath>
                <m:sSub>
                  <m:e>
                    <m:acc>
                      <m:accPr>
                        <m:chr m:val="̂"/>
                      </m:accPr>
                      <m:e>
                        <m:r>
                          <m:t>m</m:t>
                        </m:r>
                      </m:e>
                    </m:acc>
                  </m:e>
                  <m:sub>
                    <m:r>
                      <m:t>i</m:t>
                    </m:r>
                  </m:sub>
                </m:sSub>
                <m:r>
                  <m:rPr>
                    <m:sty m:val="p"/>
                  </m:rPr>
                  <m:t>=</m:t>
                </m:r>
                <m:r>
                  <m:rPr>
                    <m:sty m:val="p"/>
                  </m:rPr>
                  <m:t>arg</m:t>
                </m:r>
                <m:limLow>
                  <m:e>
                    <m:r>
                      <m:rPr>
                        <m:sty m:val="p"/>
                      </m:rPr>
                      <m:t>max</m:t>
                    </m:r>
                  </m:e>
                  <m:lim>
                    <m:r>
                      <m:t>m</m:t>
                    </m:r>
                    <m:r>
                      <m:rPr>
                        <m:sty m:val="p"/>
                      </m:rPr>
                      <m:t>∈</m:t>
                    </m:r>
                    <m:r>
                      <m:rPr>
                        <m:sty m:val="p"/>
                      </m:rPr>
                      <m:t>{</m:t>
                    </m:r>
                    <m:r>
                      <m:t>t</m:t>
                    </m:r>
                    <m:r>
                      <m:rPr>
                        <m:sty m:val="p"/>
                      </m:rPr>
                      <m:t>,</m:t>
                    </m:r>
                    <m:r>
                      <m:t>a</m:t>
                    </m:r>
                    <m:r>
                      <m:rPr>
                        <m:sty m:val="p"/>
                      </m:rPr>
                      <m:t>,</m:t>
                    </m:r>
                    <m:r>
                      <m:t>v</m:t>
                    </m:r>
                    <m:r>
                      <m:rPr>
                        <m:sty m:val="p"/>
                      </m:rPr>
                      <m:t>}</m:t>
                    </m:r>
                  </m:lim>
                </m:limLow>
                <m:d>
                  <m:dPr>
                    <m:begChr m:val="|"/>
                    <m:sepChr m:val=""/>
                    <m:endChr m:val="|"/>
                    <m:grow/>
                  </m:dPr>
                  <m:e>
                    <m:sSubSup>
                      <m:e>
                        <m:r>
                          <m:rPr>
                            <m:sty m:val="p"/>
                          </m:rPr>
                          <m:t>Δ</m:t>
                        </m:r>
                      </m:e>
                      <m:sub>
                        <m:r>
                          <m:t>i</m:t>
                        </m:r>
                        <m:r>
                          <m:rPr>
                            <m:sty m:val="p"/>
                          </m:rPr>
                          <m:t>,</m:t>
                        </m:r>
                        <m:r>
                          <m:t>m</m:t>
                        </m:r>
                      </m:sub>
                      <m:sup>
                        <m:r>
                          <m:rPr>
                            <m:sty m:val="p"/>
                          </m:rPr>
                          <m:t>c</m:t>
                        </m:r>
                        <m:r>
                          <m:rPr>
                            <m:sty m:val="p"/>
                          </m:rPr>
                          <m:t>l</m:t>
                        </m:r>
                        <m:r>
                          <m:rPr>
                            <m:sty m:val="p"/>
                          </m:rPr>
                          <m:t>s</m:t>
                        </m:r>
                      </m:sup>
                    </m:sSubSup>
                  </m:e>
                </m:d>
                <m:r>
                  <m:rPr>
                    <m:sty m:val="p"/>
                  </m:rPr>
                  <m:t>.</m:t>
                </m:r>
              </m:oMath>
            </m:oMathPara>
          </w:p>
        </w:tc>
        <w:tc>
          <w:tcPr>
            <w:tcW w:type="dxa" w:w="850"/>
            <w:vAlign w:val="center"/>
          </w:tcPr>
          <w:p>
            <w:pPr>
              <w:spacing w:before="80" w:after="80" w:line="240" w:lineRule="auto"/>
              <w:ind w:firstLine="0"/>
              <w:jc w:val="right"/>
            </w:pPr>
            <w:r>
              <w:rPr>
                <w:rFonts w:ascii="Times New Roman" w:hAnsi="Times New Roman" w:cs="Times New Roman" w:eastAsia="宋体"/>
                <w:color w:val="000000"/>
                <w:sz w:val="24"/>
              </w:rPr>
              <w:t>(7-4)</w:t>
            </w:r>
          </w:p>
        </w:tc>
      </w:tr>
    </w:tbl>
    <w:p>
      <w:pPr>
        <w:pStyle w:val="BodyText"/>
        <w:spacing w:before="0" w:after="0" w:line="360" w:lineRule="auto"/>
        <w:ind w:firstLine="480"/>
        <w:jc w:val="both"/>
      </w:pPr>
      <w:r>
        <w:rPr>
          <w:rFonts w:hint="eastAsia" w:ascii="Times New Roman" w:hAnsi="Times New Roman" w:cs="Times New Roman" w:eastAsia="宋体"/>
          <w:color w:val="000000"/>
          <w:sz w:val="24"/>
        </w:rPr>
        <w:t xml:space="preserve">上述贡献的解释边界需要明确。首先，贡献度量的是相对于“置零且不可观测”基线的边际变化，而遮蔽样本偏离训练分布，存在分布外（out-of-distribution）效应[3]，因此贡献只反映模型对相应输入的依赖程度，不具有因果含义。其次，模态之间存在交互，单独遮蔽所得贡献之和一般不等于同时遮蔽全部模态的效应；Shapley值类方法[2]可以给出满足可加性的分解，但计算代价随组合数增长，本文未采用，也不对贡献作可加性解读。最后，各样本的基线置信度不同，未归一化贡献不宜跨样本直接比较。完整解释流程见图7-1。</w:t>
      </w:r>
    </w:p>
    <w:p>
      <w:pPr>
        <w:pStyle w:val="BodyText"/>
        <w:keepNext/>
        <w:spacing w:before="120" w:after="0" w:line="240" w:lineRule="auto"/>
        <w:ind w:firstLine="0"/>
        <w:jc w:val="center"/>
      </w:pPr>
      <w:r>
        <w:drawing>
          <wp:inline>
            <wp:extent cx="5334000" cy="3990237"/>
            <wp:effectExtent b="0" l="0" r="0" t="0"/>
            <wp:docPr descr="" title="" id="12" name="Picture"/>
            <a:graphic>
              <a:graphicData uri="http://schemas.openxmlformats.org/drawingml/2006/picture">
                <pic:pic>
                  <pic:nvPicPr>
                    <pic:cNvPr descr="figures/图7-1_多模态解释方法与遮蔽流程示意图.png" id="13" name="Picture"/>
                    <pic:cNvPicPr>
                      <a:picLocks noChangeArrowheads="1" noChangeAspect="1"/>
                    </pic:cNvPicPr>
                  </pic:nvPicPr>
                  <pic:blipFill>
                    <a:blip r:embed="rId11"/>
                    <a:stretch>
                      <a:fillRect/>
                    </a:stretch>
                  </pic:blipFill>
                  <pic:spPr bwMode="auto">
                    <a:xfrm>
                      <a:off x="0" y="0"/>
                      <a:ext cx="5334000" cy="3990237"/>
                    </a:xfrm>
                    <a:prstGeom prst="rect">
                      <a:avLst/>
                    </a:prstGeom>
                    <a:noFill/>
                    <a:ln w="9525">
                      <a:noFill/>
                      <a:headEnd/>
                      <a:tailEnd/>
                    </a:ln>
                  </pic:spPr>
                </pic:pic>
              </a:graphicData>
            </a:graphic>
          </wp:inline>
        </w:drawing>
      </w:r>
    </w:p>
    <w:p>
      <w:pPr>
        <w:pStyle w:val="BodyText"/>
        <w:spacing w:before="0" w:after="180" w:line="300" w:lineRule="auto"/>
        <w:ind w:firstLine="0"/>
        <w:jc w:val="center"/>
      </w:pPr>
      <w:r>
        <w:rPr>
          <w:rFonts w:hint="eastAsia" w:ascii="Times New Roman" w:hAnsi="Times New Roman" w:cs="Times New Roman" w:eastAsia="黑体"/>
          <w:b/>
          <w:bCs/>
          <w:color w:val="000000"/>
          <w:sz w:val="21"/>
        </w:rPr>
        <w:t xml:space="preserve">图7-1</w:t>
      </w:r>
      <w:r>
        <w:rPr>
          <w:rFonts w:ascii="Times New Roman" w:hAnsi="Times New Roman" w:cs="Times New Roman" w:eastAsia="黑体"/>
          <w:b/>
          <w:bCs/>
          <w:color w:val="000000"/>
          <w:sz w:val="21"/>
        </w:rPr>
        <w:t xml:space="preserve"> </w:t>
      </w:r>
      <w:r>
        <w:rPr>
          <w:rFonts w:hint="eastAsia" w:ascii="Times New Roman" w:hAnsi="Times New Roman" w:cs="Times New Roman" w:eastAsia="黑体"/>
          <w:b/>
          <w:bCs/>
          <w:color w:val="000000"/>
          <w:sz w:val="21"/>
        </w:rPr>
        <w:t xml:space="preserve">多模态解释方法与遮蔽流程示意图。</w:t>
      </w:r>
    </w:p>
    <w:bookmarkEnd w:id="14"/>
    <w:bookmarkStart w:id="15" w:name="关键时间片段定位方法"/>
    <w:p>
      <w:pPr>
        <w:pStyle w:val="Heading3"/>
      </w:pPr>
      <w:r>
        <w:rPr>
          <w:rFonts w:ascii="Times New Roman" w:hAnsi="Times New Roman" w:cs="Times New Roman" w:eastAsia="黑体"/>
          <w:b/>
          <w:color w:val="000000"/>
          <w:sz w:val="24"/>
        </w:rPr>
        <w:t xml:space="preserve">7.1.4 </w:t>
      </w:r>
      <w:r>
        <w:rPr>
          <w:rFonts w:hint="eastAsia" w:ascii="Times New Roman" w:hAnsi="Times New Roman" w:cs="Times New Roman" w:eastAsia="黑体"/>
          <w:b/>
          <w:color w:val="000000"/>
          <w:sz w:val="24"/>
        </w:rPr>
        <w:t xml:space="preserve">关键时间片段定位方法</w:t>
      </w:r>
    </w:p>
    <w:p>
      <w:pPr>
        <w:pStyle w:val="FirstParagraph"/>
        <w:spacing w:before="0" w:after="0" w:line="360" w:lineRule="auto"/>
        <w:ind w:firstLine="480"/>
        <w:jc w:val="both"/>
      </w:pPr>
      <w:r>
        <w:rPr>
          <w:rFonts w:hint="eastAsia" w:ascii="Times New Roman" w:hAnsi="Times New Roman" w:cs="Times New Roman" w:eastAsia="宋体"/>
          <w:color w:val="000000"/>
          <w:sz w:val="24"/>
        </w:rPr>
        <w:t xml:space="preserve">模态级贡献只能确定起作用的模态，片段级定位还需要在模态内部实施位置级遮蔽。遮蔽单元依据模态特性设定：文本以单个词元位置为单元；音频与视觉为时间连续信号，单点遮蔽缺乏明确的物理含义，故采用长度</w:t>
      </w:r>
      <w:r>
        <w:rPr>
          <w:rFonts w:ascii="Times New Roman" w:hAnsi="Times New Roman" w:cs="Times New Roman" w:eastAsia="宋体"/>
          <w:color w:val="000000"/>
          <w:sz w:val="24"/>
        </w:rPr>
        <w:t xml:space="preserve"> </w:t>
      </w:r>
      <m:oMath>
        <m:r>
          <m:t>W</m:t>
        </m:r>
        <m:r>
          <m:rPr>
            <m:sty m:val="p"/>
          </m:rPr>
          <m:t>=</m:t>
        </m:r>
        <m:r>
          <m:t>5</m:t>
        </m:r>
      </m:oMath>
      <w:r>
        <w:rPr>
          <w:rFonts w:hint="eastAsia" w:ascii="Times New Roman" w:hAnsi="Times New Roman" w:cs="Times New Roman" w:eastAsia="宋体"/>
          <w:color w:val="000000"/>
          <w:sz w:val="24"/>
        </w:rPr>
        <w:t xml:space="preserve">、步长为1的连续窗口。50步网格上样本的有效跨度通常为20～48个位置，</w:t>
      </w:r>
      <m:oMath>
        <m:r>
          <m:t>W</m:t>
        </m:r>
        <m:r>
          <m:rPr>
            <m:sty m:val="p"/>
          </m:rPr>
          <m:t>=</m:t>
        </m:r>
        <m:r>
          <m:t>5</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约占有效跨度的10%～25%，兼顾了定位的局部性与效应的可检测性。未观测位置在遮蔽前后输入不变、贡献恒为0，故不纳入计算，以免稀释统计量。</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对每个单元</w:t>
      </w:r>
      <w:r>
        <w:rPr>
          <w:rFonts w:ascii="Times New Roman" w:hAnsi="Times New Roman" w:cs="Times New Roman" w:eastAsia="宋体"/>
          <w:color w:val="000000"/>
          <w:sz w:val="24"/>
        </w:rPr>
        <w:t xml:space="preserve"> </w:t>
      </w:r>
      <m:oMath>
        <m:r>
          <m:t>u</m:t>
        </m:r>
      </m:oMath>
      <w:r>
        <w:rPr>
          <w:rFonts w:hint="eastAsia" w:ascii="Times New Roman" w:hAnsi="Times New Roman" w:cs="Times New Roman" w:eastAsia="宋体"/>
          <w:color w:val="000000"/>
          <w:sz w:val="24"/>
        </w:rPr>
        <w:t xml:space="preserve">，按式(7-1)计算</w:t>
      </w:r>
      <w:r>
        <w:rPr>
          <w:rFonts w:ascii="Times New Roman" w:hAnsi="Times New Roman" w:cs="Times New Roman" w:eastAsia="宋体"/>
          <w:color w:val="000000"/>
          <w:sz w:val="24"/>
        </w:rPr>
        <w:t xml:space="preserve"> </w:t>
      </w:r>
      <m:oMath>
        <m:sSubSup>
          <m:e>
            <m:r>
              <m:rPr>
                <m:sty m:val="p"/>
              </m:rPr>
              <m:t>Δ</m:t>
            </m:r>
          </m:e>
          <m:sub>
            <m:r>
              <m:t>i</m:t>
            </m:r>
            <m:r>
              <m:rPr>
                <m:sty m:val="p"/>
              </m:rPr>
              <m:t>,</m:t>
            </m:r>
            <m:r>
              <m:t>u</m:t>
            </m:r>
          </m:sub>
          <m:sup>
            <m:r>
              <m:rPr>
                <m:sty m:val="p"/>
              </m:rPr>
              <m:t>c</m:t>
            </m:r>
            <m:r>
              <m:rPr>
                <m:sty m:val="p"/>
              </m:rPr>
              <m:t>l</m:t>
            </m:r>
            <m:r>
              <m:rPr>
                <m:sty m:val="p"/>
              </m:rPr>
              <m:t>s</m:t>
            </m:r>
          </m:sup>
        </m:sSubSup>
      </m:oMath>
      <w:r>
        <w:rPr>
          <w:rFonts w:hint="eastAsia" w:ascii="Times New Roman" w:hAnsi="Times New Roman" w:cs="Times New Roman" w:eastAsia="宋体"/>
          <w:color w:val="000000"/>
          <w:sz w:val="24"/>
        </w:rPr>
        <w:t xml:space="preserve">，并按</w:t>
      </w:r>
      <w:r>
        <w:rPr>
          <w:rFonts w:ascii="Times New Roman" w:hAnsi="Times New Roman" w:cs="Times New Roman" w:eastAsia="宋体"/>
          <w:color w:val="000000"/>
          <w:sz w:val="24"/>
        </w:rPr>
        <w:t xml:space="preserve"> </w:t>
      </w:r>
      <m:oMath>
        <m:d>
          <m:dPr>
            <m:begChr m:val="|"/>
            <m:sepChr m:val=""/>
            <m:endChr m:val="|"/>
            <m:grow/>
          </m:dPr>
          <m:e>
            <m:sSubSup>
              <m:e>
                <m:r>
                  <m:rPr>
                    <m:sty m:val="p"/>
                  </m:rPr>
                  <m:t>Δ</m:t>
                </m:r>
              </m:e>
              <m:sub>
                <m:r>
                  <m:t>i</m:t>
                </m:r>
                <m:r>
                  <m:rPr>
                    <m:sty m:val="p"/>
                  </m:rPr>
                  <m:t>,</m:t>
                </m:r>
                <m:r>
                  <m:t>u</m:t>
                </m:r>
              </m:sub>
              <m:sup>
                <m:r>
                  <m:rPr>
                    <m:sty m:val="p"/>
                  </m:rPr>
                  <m:t>c</m:t>
                </m:r>
                <m:r>
                  <m:rPr>
                    <m:sty m:val="p"/>
                  </m:rPr>
                  <m:t>l</m:t>
                </m:r>
                <m:r>
                  <m:rPr>
                    <m:sty m:val="p"/>
                  </m:rPr>
                  <m:t>s</m:t>
                </m:r>
              </m:sup>
            </m:sSubSup>
          </m:e>
        </m:d>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降序选取前</w:t>
      </w:r>
      <w:r>
        <w:rPr>
          <w:rFonts w:ascii="Times New Roman" w:hAnsi="Times New Roman" w:cs="Times New Roman" w:eastAsia="宋体"/>
          <w:color w:val="000000"/>
          <w:sz w:val="24"/>
        </w:rPr>
        <w:t xml:space="preserve"> </w:t>
      </w:r>
      <m:oMath>
        <m:r>
          <m:t>K</m:t>
        </m:r>
        <m:r>
          <m:rPr>
            <m:sty m:val="p"/>
          </m:rPr>
          <m:t>=</m:t>
        </m:r>
        <m:r>
          <m:t>5</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个单元作为关键证据，同时以</w:t>
      </w:r>
      <w:r>
        <w:rPr>
          <w:rFonts w:ascii="Times New Roman" w:hAnsi="Times New Roman" w:cs="Times New Roman" w:eastAsia="宋体"/>
          <w:color w:val="000000"/>
          <w:sz w:val="24"/>
        </w:rPr>
        <w:t xml:space="preserve"> </w:t>
      </w:r>
      <m:oMath>
        <m:r>
          <m:t>K</m:t>
        </m:r>
        <m:r>
          <m:rPr>
            <m:sty m:val="p"/>
          </m:rPr>
          <m:t>=</m:t>
        </m:r>
        <m:r>
          <m:t>3</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作敏感性对照；</w:t>
      </w:r>
      <m:oMath>
        <m:sSubSup>
          <m:e>
            <m:r>
              <m:rPr>
                <m:sty m:val="p"/>
              </m:rPr>
              <m:t>Δ</m:t>
            </m:r>
          </m:e>
          <m:sub>
            <m:r>
              <m:t>i</m:t>
            </m:r>
            <m:r>
              <m:rPr>
                <m:sty m:val="p"/>
              </m:rPr>
              <m:t>,</m:t>
            </m:r>
            <m:r>
              <m:t>u</m:t>
            </m:r>
          </m:sub>
          <m:sup>
            <m:r>
              <m:rPr>
                <m:sty m:val="p"/>
              </m:rPr>
              <m:t>c</m:t>
            </m:r>
            <m:r>
              <m:rPr>
                <m:sty m:val="p"/>
              </m:rPr>
              <m:t>l</m:t>
            </m:r>
            <m:r>
              <m:rPr>
                <m:sty m:val="p"/>
              </m:rPr>
              <m:t>s</m:t>
            </m:r>
          </m:sup>
        </m:sSubSup>
        <m:r>
          <m:rPr>
            <m:sty m:val="p"/>
          </m:rPr>
          <m:t>&gt;</m:t>
        </m:r>
        <m:r>
          <m:t>0</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记为支持证据，</w:t>
      </w:r>
      <m:oMath>
        <m:sSubSup>
          <m:e>
            <m:r>
              <m:rPr>
                <m:sty m:val="p"/>
              </m:rPr>
              <m:t>Δ</m:t>
            </m:r>
          </m:e>
          <m:sub>
            <m:r>
              <m:t>i</m:t>
            </m:r>
            <m:r>
              <m:rPr>
                <m:sty m:val="p"/>
              </m:rPr>
              <m:t>,</m:t>
            </m:r>
            <m:r>
              <m:t>u</m:t>
            </m:r>
          </m:sub>
          <m:sup>
            <m:r>
              <m:rPr>
                <m:sty m:val="p"/>
              </m:rPr>
              <m:t>c</m:t>
            </m:r>
            <m:r>
              <m:rPr>
                <m:sty m:val="p"/>
              </m:rPr>
              <m:t>l</m:t>
            </m:r>
            <m:r>
              <m:rPr>
                <m:sty m:val="p"/>
              </m:rPr>
              <m:t>s</m:t>
            </m:r>
          </m:sup>
        </m:sSubSup>
        <m:r>
          <m:rPr>
            <m:sty m:val="p"/>
          </m:rPr>
          <m:t>&lt;</m:t>
        </m:r>
        <m:r>
          <m:t>0</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记为抑制证据。</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单词元遮蔽在文本模态上存在固有局限。验证集文本Top-5证据中功能词占47.49%，rank-1证据中功能词占38.32%。其成因有二：一是在掩码平均池化下，移除一个词元仅改变约1/25的池化输入，信号幅度有限；二是BERT上下文化表示在相邻词元间高度相关，单一词元的边际贡献中噪声成分占比较高。因此，本文规定文本证据须同时给出±3个词元的上下文窗口与功能词标记，孤立的功能词不作为语义证据解读。</w:t>
      </w:r>
    </w:p>
    <w:bookmarkEnd w:id="15"/>
    <w:bookmarkStart w:id="16" w:name="预测结果与原始证据映射"/>
    <w:p>
      <w:pPr>
        <w:pStyle w:val="Heading3"/>
      </w:pPr>
      <w:r>
        <w:rPr>
          <w:rFonts w:ascii="Times New Roman" w:hAnsi="Times New Roman" w:cs="Times New Roman" w:eastAsia="黑体"/>
          <w:b/>
          <w:color w:val="000000"/>
          <w:sz w:val="24"/>
        </w:rPr>
        <w:t xml:space="preserve">7.1.5 </w:t>
      </w:r>
      <w:r>
        <w:rPr>
          <w:rFonts w:hint="eastAsia" w:ascii="Times New Roman" w:hAnsi="Times New Roman" w:cs="Times New Roman" w:eastAsia="黑体"/>
          <w:b/>
          <w:color w:val="000000"/>
          <w:sz w:val="24"/>
        </w:rPr>
        <w:t xml:space="preserve">预测结果与原始证据映射</w:t>
      </w:r>
    </w:p>
    <w:p>
      <w:pPr>
        <w:pStyle w:val="FirstParagraph"/>
        <w:spacing w:before="0" w:after="0" w:line="360" w:lineRule="auto"/>
        <w:ind w:firstLine="480"/>
        <w:jc w:val="both"/>
      </w:pPr>
      <w:r>
        <w:rPr>
          <w:rFonts w:hint="eastAsia" w:ascii="Times New Roman" w:hAnsi="Times New Roman" w:cs="Times New Roman" w:eastAsia="宋体"/>
          <w:color w:val="000000"/>
          <w:sz w:val="24"/>
        </w:rPr>
        <w:t xml:space="preserve">文本证据可由词元序号直接回溯到原始词元及其上下文；音频与视觉证据以50步网格上的桶位表示，需进一步映射到视频时间轴。</w:t>
      </w:r>
    </w:p>
    <w:p>
      <w:pPr>
        <w:pStyle w:val="BodyText"/>
        <w:spacing w:before="0" w:after="0" w:line="360" w:lineRule="auto"/>
        <w:ind w:firstLine="480"/>
        <w:jc w:val="both"/>
      </w:pPr>
      <w:r>
        <w:rPr>
          <w:rFonts w:hint="eastAsia" w:ascii="Times New Roman" w:hAnsi="Times New Roman" w:cs="Times New Roman" w:eastAsia="宋体"/>
          <w:b/>
          <w:bCs/>
          <w:color w:val="000000"/>
          <w:sz w:val="24"/>
        </w:rPr>
        <w:t xml:space="preserve">附件2。</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附件2的对齐特征不含时长、采样率与帧率字段，音频与视觉已被重采样至与文本共享的50步网格，桶位与物理时间之间不存在固定换算关系。因此，附件2上的音视频证据仅给出桶位区间及相对位置</w:t>
      </w:r>
      <w:r>
        <w:rPr>
          <w:rFonts w:ascii="Times New Roman" w:hAnsi="Times New Roman" w:cs="Times New Roman" w:eastAsia="宋体"/>
          <w:color w:val="000000"/>
          <w:sz w:val="24"/>
        </w:rPr>
        <w:t xml:space="preserve"> </w:t>
      </w:r>
      <m:oMath>
        <m:r>
          <m:rPr>
            <m:nor/>
            <m:sty m:val="p"/>
          </m:rPr>
          <m:t>rel_pos</m:t>
        </m:r>
        <m:r>
          <m:rPr>
            <m:sty m:val="p"/>
          </m:rPr>
          <m:t>=</m:t>
        </m:r>
        <m:r>
          <m:rPr>
            <m:nor/>
            <m:sty m:val="p"/>
          </m:rPr>
          <m:t>桶位</m:t>
        </m:r>
        <m:r>
          <m:rPr>
            <m:sty m:val="p"/>
          </m:rPr>
          <m:t>/</m:t>
        </m:r>
        <m:r>
          <m:t>48</m:t>
        </m:r>
      </m:oMath>
      <w:r>
        <w:rPr>
          <w:rFonts w:hint="eastAsia" w:ascii="Times New Roman" w:hAnsi="Times New Roman" w:cs="Times New Roman" w:eastAsia="宋体"/>
          <w:color w:val="000000"/>
          <w:sz w:val="24"/>
        </w:rPr>
        <w:t xml:space="preserve">，秒数与帧号均标注为不可回溯，不作推测性补全。</w:t>
      </w:r>
    </w:p>
    <w:p>
      <w:pPr>
        <w:pStyle w:val="BodyText"/>
        <w:spacing w:before="0" w:after="0" w:line="360" w:lineRule="auto"/>
        <w:ind w:firstLine="480"/>
        <w:jc w:val="both"/>
      </w:pPr>
      <w:r>
        <w:rPr>
          <w:rFonts w:hint="eastAsia" w:ascii="Times New Roman" w:hAnsi="Times New Roman" w:cs="Times New Roman" w:eastAsia="宋体"/>
          <w:b/>
          <w:bCs/>
          <w:color w:val="000000"/>
          <w:sz w:val="24"/>
        </w:rPr>
        <w:t xml:space="preserve">附件4。</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附件4提供20段原始视频（30</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fps，时长3.11～21.35</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s）。设某样本音频或视觉的有效跨度为桶位</w:t>
      </w:r>
      <w:r>
        <w:rPr>
          <w:rFonts w:ascii="Times New Roman" w:hAnsi="Times New Roman" w:cs="Times New Roman" w:eastAsia="宋体"/>
          <w:color w:val="000000"/>
          <w:sz w:val="24"/>
        </w:rPr>
        <w:t xml:space="preserve"> </w:t>
      </w:r>
      <m:oMath>
        <m:r>
          <m:rPr>
            <m:sty m:val="p"/>
          </m:rPr>
          <m:t>[</m:t>
        </m:r>
        <m:sSub>
          <m:e>
            <m:r>
              <m:t>v</m:t>
            </m:r>
          </m:e>
          <m:sub>
            <m:r>
              <m:t>0</m:t>
            </m:r>
          </m:sub>
        </m:sSub>
        <m:r>
          <m:rPr>
            <m:sty m:val="p"/>
          </m:rPr>
          <m:t>,</m:t>
        </m:r>
        <m:sSub>
          <m:e>
            <m:r>
              <m:t>v</m:t>
            </m:r>
          </m:e>
          <m:sub>
            <m:r>
              <m:t>1</m:t>
            </m:r>
          </m:sub>
        </m:sSub>
        <m:r>
          <m:rPr>
            <m:sty m:val="p"/>
          </m:rPr>
          <m:t>]</m:t>
        </m:r>
      </m:oMath>
      <w:r>
        <w:rPr>
          <w:rFonts w:hint="eastAsia" w:ascii="Times New Roman" w:hAnsi="Times New Roman" w:cs="Times New Roman" w:eastAsia="宋体"/>
          <w:color w:val="000000"/>
          <w:sz w:val="24"/>
        </w:rPr>
        <w:t xml:space="preserve">，</w:t>
      </w:r>
      <m:oMath>
        <m:r>
          <m:t>L</m:t>
        </m:r>
        <m:r>
          <m:rPr>
            <m:sty m:val="p"/>
          </m:rPr>
          <m:t>=</m:t>
        </m:r>
        <m:sSub>
          <m:e>
            <m:r>
              <m:t>v</m:t>
            </m:r>
          </m:e>
          <m:sub>
            <m:r>
              <m:t>1</m:t>
            </m:r>
          </m:sub>
        </m:sSub>
        <m:r>
          <m:rPr>
            <m:sty m:val="p"/>
          </m:rPr>
          <m:t>−</m:t>
        </m:r>
        <m:sSub>
          <m:e>
            <m:r>
              <m:t>v</m:t>
            </m:r>
          </m:e>
          <m:sub>
            <m:r>
              <m:t>0</m:t>
            </m:r>
          </m:sub>
        </m:sSub>
        <m:r>
          <m:rPr>
            <m:sty m:val="p"/>
          </m:rPr>
          <m:t>+</m:t>
        </m:r>
        <m:r>
          <m:t>1</m:t>
        </m:r>
      </m:oMath>
      <w:r>
        <w:rPr>
          <w:rFonts w:hint="eastAsia" w:ascii="Times New Roman" w:hAnsi="Times New Roman" w:cs="Times New Roman" w:eastAsia="宋体"/>
          <w:color w:val="000000"/>
          <w:sz w:val="24"/>
        </w:rPr>
        <w:t xml:space="preserve">，视频时长为</w:t>
      </w:r>
      <w:r>
        <w:rPr>
          <w:rFonts w:ascii="Times New Roman" w:hAnsi="Times New Roman" w:cs="Times New Roman" w:eastAsia="宋体"/>
          <w:color w:val="000000"/>
          <w:sz w:val="24"/>
        </w:rPr>
        <w:t xml:space="preserve"> </w:t>
      </w:r>
      <m:oMath>
        <m:r>
          <m:t>D</m:t>
        </m:r>
      </m:oMath>
      <w:r>
        <w:rPr>
          <w:rFonts w:hint="eastAsia" w:ascii="Times New Roman" w:hAnsi="Times New Roman" w:cs="Times New Roman" w:eastAsia="宋体"/>
          <w:color w:val="000000"/>
          <w:sz w:val="24"/>
        </w:rPr>
        <w:t xml:space="preserve">，则桶位</w:t>
      </w:r>
      <w:r>
        <w:rPr>
          <w:rFonts w:ascii="Times New Roman" w:hAnsi="Times New Roman" w:cs="Times New Roman" w:eastAsia="宋体"/>
          <w:color w:val="000000"/>
          <w:sz w:val="24"/>
        </w:rPr>
        <w:t xml:space="preserve"> </w:t>
      </w:r>
      <m:oMath>
        <m:r>
          <m:t>j</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对应的时间区间与帧号按下式重建：</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024"/>
        <w:gridCol w:w="3024"/>
        <w:gridCol w:w="3024"/>
      </w:tblGrid>
      <w:tr>
        <w:tc>
          <w:tcPr>
            <w:tcW w:type="dxa" w:w="850"/>
            <w:vAlign w:val="center"/>
          </w:tcPr>
          <w:p>
            <w:pPr>
              <w:spacing w:before="80" w:after="80" w:line="240" w:lineRule="auto"/>
              <w:ind w:firstLine="0"/>
            </w:pPr>
          </w:p>
        </w:tc>
        <w:tc>
          <w:tcPr>
            <w:tcW w:type="dxa" w:w="7370"/>
            <w:vAlign w:val="center"/>
          </w:tcPr>
          <w:p>
            <w:pPr>
              <w:spacing w:before="80" w:after="80" w:line="240" w:lineRule="auto"/>
              <w:ind w:firstLine="0"/>
              <w:jc w:val="center"/>
            </w:pPr>
            <m:oMathPara>
              <m:oMathParaPr>
                <m:jc m:val="center"/>
              </m:oMathParaPr>
              <m:oMath>
                <m:sSub>
                  <m:e>
                    <m:r>
                      <m:t>t</m:t>
                    </m:r>
                  </m:e>
                  <m:sub>
                    <m:r>
                      <m:t>j</m:t>
                    </m:r>
                  </m:sub>
                </m:sSub>
                <m:r>
                  <m:rPr>
                    <m:sty m:val="p"/>
                  </m:rPr>
                  <m:t>∈</m:t>
                </m:r>
                <m:d>
                  <m:dPr>
                    <m:begChr m:val="["/>
                    <m:sepChr m:val=""/>
                    <m:endChr m:val=")"/>
                    <m:grow/>
                  </m:dPr>
                  <m:e>
                    <m:f>
                      <m:fPr>
                        <m:type m:val="bar"/>
                      </m:fPr>
                      <m:num>
                        <m:r>
                          <m:t>j</m:t>
                        </m:r>
                        <m:r>
                          <m:rPr>
                            <m:sty m:val="p"/>
                          </m:rPr>
                          <m:t>−</m:t>
                        </m:r>
                        <m:sSub>
                          <m:e>
                            <m:r>
                              <m:t>v</m:t>
                            </m:r>
                          </m:e>
                          <m:sub>
                            <m:r>
                              <m:t>0</m:t>
                            </m:r>
                          </m:sub>
                        </m:sSub>
                      </m:num>
                      <m:den>
                        <m:r>
                          <m:t>L</m:t>
                        </m:r>
                      </m:den>
                    </m:f>
                    <m:r>
                      <m:t>D</m:t>
                    </m:r>
                    <m:r>
                      <m:rPr>
                        <m:sty m:val="p"/>
                      </m:rPr>
                      <m:t>,</m:t>
                    </m:r>
                    <m:r>
                      <m:t> </m:t>
                    </m:r>
                    <m:f>
                      <m:fPr>
                        <m:type m:val="bar"/>
                      </m:fPr>
                      <m:num>
                        <m:r>
                          <m:t>j</m:t>
                        </m:r>
                        <m:r>
                          <m:rPr>
                            <m:sty m:val="p"/>
                          </m:rPr>
                          <m:t>−</m:t>
                        </m:r>
                        <m:sSub>
                          <m:e>
                            <m:r>
                              <m:t>v</m:t>
                            </m:r>
                          </m:e>
                          <m:sub>
                            <m:r>
                              <m:t>0</m:t>
                            </m:r>
                          </m:sub>
                        </m:sSub>
                        <m:r>
                          <m:rPr>
                            <m:sty m:val="p"/>
                          </m:rPr>
                          <m:t>+</m:t>
                        </m:r>
                        <m:r>
                          <m:t>1</m:t>
                        </m:r>
                      </m:num>
                      <m:den>
                        <m:r>
                          <m:t>L</m:t>
                        </m:r>
                      </m:den>
                    </m:f>
                    <m:r>
                      <m:t>D</m:t>
                    </m:r>
                  </m:e>
                </m:d>
                <m:r>
                  <m:rPr>
                    <m:sty m:val="p"/>
                  </m:rPr>
                  <m:t>,</m:t>
                </m:r>
                <m:r>
                  <m:t>  </m:t>
                </m:r>
                <m:r>
                  <m:t>f</m:t>
                </m:r>
                <m:r>
                  <m:rPr>
                    <m:sty m:val="p"/>
                  </m:rPr>
                  <m:t>=</m:t>
                </m:r>
                <m:r>
                  <m:rPr>
                    <m:sty m:val="p"/>
                  </m:rPr>
                  <m:t>round</m:t>
                </m:r>
                <m:r>
                  <m:rPr>
                    <m:sty m:val="p"/>
                  </m:rPr>
                  <m:t>(</m:t>
                </m:r>
                <m:r>
                  <m:t>30</m:t>
                </m:r>
                <m:r>
                  <m:t> </m:t>
                </m:r>
                <m:r>
                  <m:t>t</m:t>
                </m:r>
                <m:r>
                  <m:rPr>
                    <m:sty m:val="p"/>
                  </m:rPr>
                  <m:t>)</m:t>
                </m:r>
                <m:r>
                  <m:rPr>
                    <m:sty m:val="p"/>
                  </m:rPr>
                  <m:t>.</m:t>
                </m:r>
              </m:oMath>
            </m:oMathPara>
          </w:p>
        </w:tc>
        <w:tc>
          <w:tcPr>
            <w:tcW w:type="dxa" w:w="850"/>
            <w:vAlign w:val="center"/>
          </w:tcPr>
          <w:p>
            <w:pPr>
              <w:spacing w:before="80" w:after="80" w:line="240" w:lineRule="auto"/>
              <w:ind w:firstLine="0"/>
              <w:jc w:val="right"/>
            </w:pPr>
            <w:r>
              <w:rPr>
                <w:rFonts w:ascii="Times New Roman" w:hAnsi="Times New Roman" w:cs="Times New Roman" w:eastAsia="宋体"/>
                <w:color w:val="000000"/>
                <w:sz w:val="24"/>
              </w:rPr>
              <w:t>(7-5)</w:t>
            </w:r>
          </w:p>
        </w:tc>
      </w:tr>
    </w:tbl>
    <w:p>
      <w:pPr>
        <w:pStyle w:val="BodyText"/>
        <w:spacing w:before="0" w:after="0" w:line="360" w:lineRule="auto"/>
        <w:ind w:firstLine="480"/>
        <w:jc w:val="both"/>
      </w:pPr>
      <w:r>
        <w:rPr>
          <w:rFonts w:hint="eastAsia" w:ascii="Times New Roman" w:hAnsi="Times New Roman" w:cs="Times New Roman" w:eastAsia="宋体"/>
          <w:color w:val="000000"/>
          <w:sz w:val="24"/>
        </w:rPr>
        <w:t xml:space="preserve">式(7-5)隐含的假设是有效跨度覆盖整段视频。与之竞争的假设是48个桶位均匀覆盖视频，此时有效跨度较短意味着内容仅位于视频前段。为区分两者，本文对8条样本解码音频能量包络，比较末端有声时刻与竞争假设给出的内容终点。8条样本的末端有声时刻均显著晚于后者，例如样本01在8.16</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s处仍有语音，而竞争假设下内容应于4.13</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s结束。竞争假设在全部8条样本上均被否定，故采用式(7-5)。</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式(7-5)给出的是按有效跨度线性重建的近似位置，而非赛题提供的逐词或逐帧时间戳，其时间分辨率受桶位密度限制。以样本16为例，11个音频桶位覆盖3.11</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s，单个桶位约对应0.28</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s。重建时间足以支撑人工回看核对，但不足以证明三种模态在语义层面实现了精确同步。</w:t>
      </w:r>
    </w:p>
    <w:bookmarkEnd w:id="16"/>
    <w:bookmarkEnd w:id="17"/>
    <w:bookmarkStart w:id="45" w:name="模型求解与结果分析"/>
    <w:p>
      <w:pPr>
        <w:pStyle w:val="Heading2"/>
      </w:pPr>
      <w:r>
        <w:rPr>
          <w:rFonts w:ascii="Times New Roman" w:hAnsi="Times New Roman" w:cs="Times New Roman" w:eastAsia="黑体"/>
          <w:b/>
          <w:color w:val="000000"/>
          <w:sz w:val="28"/>
        </w:rPr>
        <w:t xml:space="preserve">7.2 </w:t>
      </w:r>
      <w:r>
        <w:rPr>
          <w:rFonts w:hint="eastAsia" w:ascii="Times New Roman" w:hAnsi="Times New Roman" w:cs="Times New Roman" w:eastAsia="黑体"/>
          <w:b/>
          <w:color w:val="000000"/>
          <w:sz w:val="28"/>
        </w:rPr>
        <w:t xml:space="preserve">模型求解与结果分析</w:t>
      </w:r>
    </w:p>
    <w:bookmarkStart w:id="18" w:name="解释计算策略与参数设置"/>
    <w:p>
      <w:pPr>
        <w:pStyle w:val="Heading3"/>
      </w:pPr>
      <w:r>
        <w:rPr>
          <w:rFonts w:ascii="Times New Roman" w:hAnsi="Times New Roman" w:cs="Times New Roman" w:eastAsia="黑体"/>
          <w:b/>
          <w:color w:val="000000"/>
          <w:sz w:val="24"/>
        </w:rPr>
        <w:t xml:space="preserve">7.2.1 </w:t>
      </w:r>
      <w:r>
        <w:rPr>
          <w:rFonts w:hint="eastAsia" w:ascii="Times New Roman" w:hAnsi="Times New Roman" w:cs="Times New Roman" w:eastAsia="黑体"/>
          <w:b/>
          <w:color w:val="000000"/>
          <w:sz w:val="24"/>
        </w:rPr>
        <w:t xml:space="preserve">解释计算策略与参数设置</w:t>
      </w:r>
    </w:p>
    <w:p>
      <w:pPr>
        <w:pStyle w:val="FirstParagraph"/>
        <w:spacing w:before="0" w:after="0" w:line="360" w:lineRule="auto"/>
        <w:ind w:firstLine="480"/>
        <w:jc w:val="both"/>
      </w:pPr>
      <w:r>
        <w:rPr>
          <w:rFonts w:hint="eastAsia" w:ascii="Times New Roman" w:hAnsi="Times New Roman" w:cs="Times New Roman" w:eastAsia="宋体"/>
          <w:color w:val="000000"/>
          <w:sz w:val="24"/>
        </w:rPr>
        <w:t xml:space="preserve">问题三沿用问题二冻结的</w:t>
      </w:r>
      <w:r>
        <w:rPr>
          <w:rFonts w:ascii="Times New Roman" w:hAnsi="Times New Roman" w:cs="Times New Roman" w:eastAsia="宋体"/>
          <w:color w:val="000000"/>
          <w:sz w:val="24"/>
        </w:rPr>
        <w:t xml:space="preserve"> </w:t>
      </w:r>
      <w:r>
        <w:rPr>
          <w:rStyle w:val="VerbatimChar"/>
          <w:rFonts w:ascii="Times New Roman" w:hAnsi="Times New Roman" w:cs="Times New Roman" w:eastAsia="宋体"/>
          <w:color w:val="000000"/>
          <w:sz w:val="24"/>
        </w:rPr>
        <w:t xml:space="preserve">static_concat</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及其标准化参数，全部解释计算均为确定性前向推理。推理阶段Dropout处于关闭状态，推理随机数的改变不影响模型输出；随机种子仅用于随机对照片段的抽样与扰动噪声的生成。表7-1所列设置均在附件2验证集上确定后固定，附件4推理时原样沿用，未调整任何阈值。</w:t>
      </w:r>
    </w:p>
    <w:p>
      <w:pPr>
        <w:pStyle w:val="BodyText"/>
        <w:keepNext/>
        <w:spacing w:before="120" w:after="60" w:line="300" w:lineRule="auto"/>
        <w:ind w:firstLine="0"/>
        <w:jc w:val="center"/>
      </w:pPr>
      <w:r>
        <w:rPr>
          <w:rFonts w:hint="eastAsia" w:ascii="Times New Roman" w:hAnsi="Times New Roman" w:cs="Times New Roman" w:eastAsia="黑体"/>
          <w:b/>
          <w:bCs/>
          <w:color w:val="000000"/>
          <w:sz w:val="21"/>
        </w:rPr>
        <w:t xml:space="preserve">表7-1</w:t>
      </w:r>
      <w:r>
        <w:rPr>
          <w:rFonts w:ascii="Times New Roman" w:hAnsi="Times New Roman" w:cs="Times New Roman" w:eastAsia="黑体"/>
          <w:b/>
          <w:bCs/>
          <w:color w:val="000000"/>
          <w:sz w:val="21"/>
        </w:rPr>
        <w:t xml:space="preserve"> </w:t>
      </w:r>
      <w:r>
        <w:rPr>
          <w:rFonts w:hint="eastAsia" w:ascii="Times New Roman" w:hAnsi="Times New Roman" w:cs="Times New Roman" w:eastAsia="黑体"/>
          <w:b/>
          <w:bCs/>
          <w:color w:val="000000"/>
          <w:sz w:val="21"/>
        </w:rPr>
        <w:t xml:space="preserve">解释计算策略与参数设置</w:t>
      </w:r>
    </w:p>
    <w:tbl>
      <w:tblPr>
        <w:tblStyle w:val="Table"/>
        <w:tblW w:type="dxa" w:w="9072"/>
        <w:jc w:val="center"/>
        <w:tblLayout w:type="fixed"/>
        <w:tblLook w:firstRow="1" w:lastRow="0" w:firstColumn="0" w:lastColumn="0" w:noHBand="0" w:noVBand="0" w:val="002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CellMar>
          <w:left w:w="57" w:type="dxa"/>
          <w:right w:w="57" w:type="dxa"/>
        </w:tblCellMar>
      </w:tblPr>
      <w:tblGrid>
        <w:gridCol w:w="2671"/>
        <w:gridCol w:w="6400"/>
      </w:tblGrid>
      <w:tr>
        <w:trPr>
          <w:tblHeader w:val="on"/>
          <w:tblHeader w:val="true"/>
        </w:trPr>
        <w:tc>
          <w:tcPr>
            <w:tcW w:type="dxa" w:w="2671"/>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21"/>
              </w:rPr>
              <w:t xml:space="preserve">项目</w:t>
            </w:r>
          </w:p>
        </w:tc>
        <w:tc>
          <w:tcPr>
            <w:tcW w:type="dxa" w:w="6400"/>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21"/>
              </w:rPr>
              <w:t xml:space="preserve">取值</w:t>
            </w:r>
          </w:p>
        </w:tc>
      </w:tr>
      <w:tr>
        <w:tc>
          <w:tcPr>
            <w:tcW w:type="dxa" w:w="2671"/>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被解释模型</w:t>
            </w:r>
          </w:p>
        </w:tc>
        <w:tc>
          <w:tcPr>
            <w:tcW w:type="dxa" w:w="6400"/>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问题二冻结</w:t>
            </w:r>
            <w:r>
              <w:rPr>
                <w:rFonts w:ascii="Times New Roman" w:hAnsi="Times New Roman" w:cs="Times New Roman" w:eastAsia="宋体"/>
                <w:b w:val="0"/>
                <w:color w:val="000000"/>
                <w:sz w:val="21"/>
              </w:rPr>
              <w:t xml:space="preserve"> </w:t>
            </w:r>
            <w:r>
              <w:rPr>
                <w:rStyle w:val="VerbatimChar"/>
                <w:rFonts w:ascii="Times New Roman" w:hAnsi="Times New Roman" w:cs="Times New Roman" w:eastAsia="宋体"/>
                <w:b w:val="0"/>
                <w:color w:val="000000"/>
                <w:sz w:val="21"/>
              </w:rPr>
              <w:t xml:space="preserve">static_concat</w:t>
            </w:r>
            <w:r>
              <w:rPr>
                <w:rFonts w:hint="eastAsia" w:ascii="Times New Roman" w:hAnsi="Times New Roman" w:cs="Times New Roman" w:eastAsia="宋体"/>
                <w:b w:val="0"/>
                <w:color w:val="000000"/>
                <w:sz w:val="21"/>
              </w:rPr>
              <w:t xml:space="preserve">，81,540</w:t>
            </w:r>
            <w:r>
              <w:rPr>
                <w:rFonts w:ascii="Times New Roman" w:hAnsi="Times New Roman" w:cs="Times New Roman" w:eastAsia="宋体"/>
                <w:b w:val="0"/>
                <w:color w:val="000000"/>
                <w:sz w:val="21"/>
              </w:rPr>
              <w:t xml:space="preserve"> </w:t>
            </w:r>
            <w:r>
              <w:rPr>
                <w:rFonts w:hint="eastAsia" w:ascii="Times New Roman" w:hAnsi="Times New Roman" w:cs="Times New Roman" w:eastAsia="宋体"/>
                <w:b w:val="0"/>
                <w:color w:val="000000"/>
                <w:sz w:val="21"/>
              </w:rPr>
              <w:t xml:space="preserve">参数，主种子</w:t>
            </w:r>
            <w:r>
              <w:rPr>
                <w:rFonts w:ascii="Times New Roman" w:hAnsi="Times New Roman" w:cs="Times New Roman" w:eastAsia="宋体"/>
                <w:b w:val="0"/>
                <w:color w:val="000000"/>
                <w:sz w:val="21"/>
              </w:rPr>
              <w:t xml:space="preserve"> 20260924</w:t>
            </w:r>
          </w:p>
        </w:tc>
      </w:tr>
      <w:tr>
        <w:tc>
          <w:tcPr>
            <w:tcW w:type="dxa" w:w="2671"/>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推理方式</w:t>
            </w:r>
          </w:p>
        </w:tc>
        <w:tc>
          <w:tcPr>
            <w:tcW w:type="dxa" w:w="6400"/>
            <w:vAlign w:val="center"/>
          </w:tcPr>
          <w:p>
            <w:pPr>
              <w:pStyle w:val="Compact"/>
              <w:spacing w:before="30" w:after="30" w:line="240" w:lineRule="auto"/>
              <w:ind w:firstLine="0"/>
              <w:jc w:val="left"/>
            </w:pPr>
            <w:r>
              <w:rPr>
                <w:rStyle w:val="VerbatimChar"/>
                <w:rFonts w:ascii="Times New Roman" w:hAnsi="Times New Roman" w:cs="Times New Roman" w:eastAsia="宋体"/>
                <w:b w:val="0"/>
                <w:color w:val="000000"/>
                <w:sz w:val="21"/>
              </w:rPr>
              <w:t xml:space="preserve">eval()</w:t>
            </w:r>
            <w:r>
              <w:rPr>
                <w:rFonts w:ascii="Times New Roman" w:hAnsi="Times New Roman" w:cs="Times New Roman" w:eastAsia="宋体"/>
                <w:b w:val="0"/>
                <w:color w:val="000000"/>
                <w:sz w:val="21"/>
              </w:rPr>
              <w:t xml:space="preserve"> </w:t>
            </w:r>
            <w:r>
              <w:rPr>
                <w:rFonts w:ascii="Times New Roman" w:hAnsi="Times New Roman" w:cs="Times New Roman" w:eastAsia="宋体"/>
                <w:b w:val="0"/>
                <w:color w:val="000000"/>
                <w:sz w:val="21"/>
              </w:rPr>
              <w:t xml:space="preserve">+</w:t>
            </w:r>
            <w:r>
              <w:rPr>
                <w:rFonts w:ascii="Times New Roman" w:hAnsi="Times New Roman" w:cs="Times New Roman" w:eastAsia="宋体"/>
                <w:b w:val="0"/>
                <w:color w:val="000000"/>
                <w:sz w:val="21"/>
              </w:rPr>
              <w:t xml:space="preserve"> </w:t>
            </w:r>
            <w:r>
              <w:rPr>
                <w:rStyle w:val="VerbatimChar"/>
                <w:rFonts w:ascii="Times New Roman" w:hAnsi="Times New Roman" w:cs="Times New Roman" w:eastAsia="宋体"/>
                <w:b w:val="0"/>
                <w:color w:val="000000"/>
                <w:sz w:val="21"/>
              </w:rPr>
              <w:t xml:space="preserve">no_grad()</w:t>
            </w:r>
            <w:r>
              <w:rPr>
                <w:rFonts w:hint="eastAsia" w:ascii="Times New Roman" w:hAnsi="Times New Roman" w:cs="Times New Roman" w:eastAsia="宋体"/>
                <w:b w:val="0"/>
                <w:color w:val="000000"/>
                <w:sz w:val="21"/>
              </w:rPr>
              <w:t xml:space="preserve">，确定性推理；不训练、不调参、不搜索阈值</w:t>
            </w:r>
          </w:p>
        </w:tc>
      </w:tr>
      <w:tr>
        <w:tc>
          <w:tcPr>
            <w:tcW w:type="dxa" w:w="2671"/>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标准化参数</w:t>
            </w:r>
          </w:p>
        </w:tc>
        <w:tc>
          <w:tcPr>
            <w:tcW w:type="dxa" w:w="6400"/>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复用问题二训练集拟合结果，不重新拟合</w:t>
            </w:r>
          </w:p>
        </w:tc>
      </w:tr>
      <w:tr>
        <w:tc>
          <w:tcPr>
            <w:tcW w:type="dxa" w:w="2671"/>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解释对象</w:t>
            </w:r>
          </w:p>
        </w:tc>
        <w:tc>
          <w:tcPr>
            <w:tcW w:type="dxa" w:w="6400"/>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预测类别概率</w:t>
            </w:r>
            <w:r>
              <w:rPr>
                <w:rFonts w:ascii="Times New Roman" w:hAnsi="Times New Roman" w:cs="Times New Roman" w:eastAsia="宋体"/>
                <w:b w:val="0"/>
                <w:color w:val="000000"/>
                <w:sz w:val="21"/>
              </w:rPr>
              <w:t xml:space="preserve"> </w:t>
            </w:r>
            <m:oMath>
              <m:r>
                <m:t>p</m:t>
              </m:r>
              <m:r>
                <m:rPr>
                  <m:sty m:val="p"/>
                </m:rPr>
                <m:t>(</m:t>
              </m:r>
              <m:acc>
                <m:accPr>
                  <m:chr m:val="̂"/>
                </m:accPr>
                <m:e>
                  <m:r>
                    <m:t>y</m:t>
                  </m:r>
                </m:e>
              </m:acc>
              <m:r>
                <m:rPr>
                  <m:sty m:val="p"/>
                </m:rPr>
                <m:t>)</m:t>
              </m:r>
            </m:oMath>
            <w:r>
              <w:rPr>
                <w:rFonts w:ascii="Times New Roman" w:hAnsi="Times New Roman" w:cs="Times New Roman" w:eastAsia="宋体"/>
                <w:b w:val="0"/>
                <w:color w:val="000000"/>
                <w:sz w:val="21"/>
              </w:rPr>
              <w:t xml:space="preserve"> </w:t>
            </w:r>
            <w:r>
              <w:rPr>
                <w:rFonts w:hint="eastAsia" w:ascii="Times New Roman" w:hAnsi="Times New Roman" w:cs="Times New Roman" w:eastAsia="宋体"/>
                <w:b w:val="0"/>
                <w:color w:val="000000"/>
                <w:sz w:val="21"/>
              </w:rPr>
              <w:t xml:space="preserve">与情感强度</w:t>
            </w:r>
            <w:r>
              <w:rPr>
                <w:rFonts w:ascii="Times New Roman" w:hAnsi="Times New Roman" w:cs="Times New Roman" w:eastAsia="宋体"/>
                <w:b w:val="0"/>
                <w:color w:val="000000"/>
                <w:sz w:val="21"/>
              </w:rPr>
              <w:t xml:space="preserve"> </w:t>
            </w:r>
            <m:oMath>
              <m:acc>
                <m:accPr>
                  <m:chr m:val="̂"/>
                </m:accPr>
                <m:e>
                  <m:r>
                    <m:t>r</m:t>
                  </m:r>
                </m:e>
              </m:acc>
            </m:oMath>
            <w:r>
              <w:rPr>
                <w:rFonts w:hint="eastAsia" w:ascii="Times New Roman" w:hAnsi="Times New Roman" w:cs="Times New Roman" w:eastAsia="宋体"/>
                <w:b w:val="0"/>
                <w:color w:val="000000"/>
                <w:sz w:val="21"/>
              </w:rPr>
              <w:t xml:space="preserve">，分别定义贡献</w:t>
            </w:r>
          </w:p>
        </w:tc>
      </w:tr>
      <w:tr>
        <w:tc>
          <w:tcPr>
            <w:tcW w:type="dxa" w:w="2671"/>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模态级基线</w:t>
            </w:r>
          </w:p>
        </w:tc>
        <w:tc>
          <w:tcPr>
            <w:tcW w:type="dxa" w:w="6400"/>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目标模态观测掩码整体置无效，输入置零</w:t>
            </w:r>
          </w:p>
        </w:tc>
      </w:tr>
      <w:tr>
        <w:tc>
          <w:tcPr>
            <w:tcW w:type="dxa" w:w="2671"/>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位置级遮蔽单元</w:t>
            </w:r>
          </w:p>
        </w:tc>
        <w:tc>
          <w:tcPr>
            <w:tcW w:type="dxa" w:w="6400"/>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文本：单词元，步长1；音频/视觉：连续窗口</w:t>
            </w:r>
            <w:r>
              <w:rPr>
                <w:rFonts w:ascii="Times New Roman" w:hAnsi="Times New Roman" w:cs="Times New Roman" w:eastAsia="宋体"/>
                <w:b w:val="0"/>
                <w:color w:val="000000"/>
                <w:sz w:val="21"/>
              </w:rPr>
              <w:t xml:space="preserve"> </w:t>
            </w:r>
            <m:oMath>
              <m:r>
                <m:t>W</m:t>
              </m:r>
              <m:r>
                <m:rPr>
                  <m:sty m:val="p"/>
                </m:rPr>
                <m:t>=</m:t>
              </m:r>
              <m:r>
                <m:t>5</m:t>
              </m:r>
            </m:oMath>
            <w:r>
              <w:rPr>
                <w:rFonts w:hint="eastAsia" w:ascii="Times New Roman" w:hAnsi="Times New Roman" w:cs="Times New Roman" w:eastAsia="宋体"/>
                <w:b w:val="0"/>
                <w:color w:val="000000"/>
                <w:sz w:val="21"/>
              </w:rPr>
              <w:t xml:space="preserve">，步长1</w:t>
            </w:r>
          </w:p>
        </w:tc>
      </w:tr>
      <w:tr>
        <w:tc>
          <w:tcPr>
            <w:tcW w:type="dxa" w:w="2671"/>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关键证据数</w:t>
            </w:r>
          </w:p>
        </w:tc>
        <w:tc>
          <w:tcPr>
            <w:tcW w:type="dxa" w:w="6400"/>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按</w:t>
            </w:r>
            <w:r>
              <w:rPr>
                <w:rFonts w:ascii="Times New Roman" w:hAnsi="Times New Roman" w:cs="Times New Roman" w:eastAsia="宋体"/>
                <w:b w:val="0"/>
                <w:color w:val="000000"/>
                <w:sz w:val="21"/>
              </w:rPr>
              <w:t xml:space="preserve"> </w:t>
            </w:r>
            <m:oMath>
              <m:sSup>
                <m:e>
                  <m:r>
                    <m:rPr>
                      <m:sty m:val="p"/>
                    </m:rPr>
                    <m:t>Δ</m:t>
                  </m:r>
                </m:e>
                <m:sup>
                  <m:r>
                    <m:rPr>
                      <m:sty m:val="p"/>
                    </m:rPr>
                    <m:t>c</m:t>
                  </m:r>
                  <m:r>
                    <m:rPr>
                      <m:sty m:val="p"/>
                    </m:rPr>
                    <m:t>l</m:t>
                  </m:r>
                  <m:r>
                    <m:rPr>
                      <m:sty m:val="p"/>
                    </m:rPr>
                    <m:t>s</m:t>
                  </m:r>
                </m:sup>
              </m:sSup>
            </m:oMath>
            <w:r>
              <w:rPr>
                <w:rFonts w:ascii="Times New Roman" w:hAnsi="Times New Roman" w:cs="Times New Roman" w:eastAsia="宋体"/>
                <w:b w:val="0"/>
                <w:color w:val="000000"/>
                <w:sz w:val="21"/>
              </w:rPr>
              <w:t xml:space="preserve"> </w:t>
            </w:r>
            <w:r>
              <w:rPr>
                <w:rFonts w:hint="eastAsia" w:ascii="Times New Roman" w:hAnsi="Times New Roman" w:cs="Times New Roman" w:eastAsia="宋体"/>
                <w:b w:val="0"/>
                <w:color w:val="000000"/>
                <w:sz w:val="21"/>
              </w:rPr>
              <w:t xml:space="preserve">绝对值降序取</w:t>
            </w:r>
            <w:r>
              <w:rPr>
                <w:rFonts w:ascii="Times New Roman" w:hAnsi="Times New Roman" w:cs="Times New Roman" w:eastAsia="宋体"/>
                <w:b w:val="0"/>
                <w:color w:val="000000"/>
                <w:sz w:val="21"/>
              </w:rPr>
              <w:t xml:space="preserve"> </w:t>
            </w:r>
            <w:r>
              <w:rPr>
                <w:rFonts w:hint="eastAsia" w:ascii="Times New Roman" w:hAnsi="Times New Roman" w:cs="Times New Roman" w:eastAsia="宋体"/>
                <w:b w:val="0"/>
                <w:color w:val="000000"/>
                <w:sz w:val="21"/>
              </w:rPr>
              <w:t xml:space="preserve">Top-5；忠实度对照</w:t>
            </w:r>
            <w:r>
              <w:rPr>
                <w:rFonts w:ascii="Times New Roman" w:hAnsi="Times New Roman" w:cs="Times New Roman" w:eastAsia="宋体"/>
                <w:b w:val="0"/>
                <w:color w:val="000000"/>
                <w:sz w:val="21"/>
              </w:rPr>
              <w:t xml:space="preserve"> K=3</w:t>
            </w:r>
          </w:p>
        </w:tc>
      </w:tr>
      <w:tr>
        <w:tc>
          <w:tcPr>
            <w:tcW w:type="dxa" w:w="2671"/>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随机对照</w:t>
            </w:r>
          </w:p>
        </w:tc>
        <w:tc>
          <w:tcPr>
            <w:tcW w:type="dxa" w:w="6400"/>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同长度随机片段，重复10次取均值</w:t>
            </w:r>
          </w:p>
        </w:tc>
      </w:tr>
      <w:tr>
        <w:tc>
          <w:tcPr>
            <w:tcW w:type="dxa" w:w="2671"/>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输入扰动</w:t>
            </w:r>
          </w:p>
        </w:tc>
        <w:tc>
          <w:tcPr>
            <w:tcW w:type="dxa" w:w="6400"/>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已观测位置叠加</w:t>
            </w:r>
            <w:r>
              <w:rPr>
                <w:rFonts w:ascii="Times New Roman" w:hAnsi="Times New Roman" w:cs="Times New Roman" w:eastAsia="宋体"/>
                <w:b w:val="0"/>
                <w:color w:val="000000"/>
                <w:sz w:val="21"/>
              </w:rPr>
              <w:t xml:space="preserve"> </w:t>
            </w:r>
            <m:oMath>
              <m:r>
                <m:rPr>
                  <m:scr m:val="script"/>
                  <m:sty m:val="p"/>
                </m:rPr>
                <m:t>N</m:t>
              </m:r>
              <m:r>
                <m:rPr>
                  <m:sty m:val="p"/>
                </m:rPr>
                <m:t>(</m:t>
              </m:r>
              <m:r>
                <m:t>0</m:t>
              </m:r>
              <m:r>
                <m:rPr>
                  <m:sty m:val="p"/>
                </m:rPr>
                <m:t>,</m:t>
              </m:r>
              <m:sSup>
                <m:e>
                  <m:r>
                    <m:t>σ</m:t>
                  </m:r>
                </m:e>
                <m:sup>
                  <m:r>
                    <m:t>2</m:t>
                  </m:r>
                </m:sup>
              </m:sSup>
              <m:r>
                <m:rPr>
                  <m:sty m:val="p"/>
                </m:rPr>
                <m:t>)</m:t>
              </m:r>
            </m:oMath>
            <w:r>
              <w:rPr>
                <w:rFonts w:hint="eastAsia" w:ascii="Times New Roman" w:hAnsi="Times New Roman" w:cs="Times New Roman" w:eastAsia="宋体"/>
                <w:b w:val="0"/>
                <w:color w:val="000000"/>
                <w:sz w:val="21"/>
              </w:rPr>
              <w:t xml:space="preserve">，</w:t>
            </w:r>
            <m:oMath>
              <m:r>
                <m:t>σ</m:t>
              </m:r>
              <m:r>
                <m:rPr>
                  <m:sty m:val="p"/>
                </m:rPr>
                <m:t>∈</m:t>
              </m:r>
              <m:r>
                <m:rPr>
                  <m:sty m:val="p"/>
                </m:rPr>
                <m:t>{</m:t>
              </m:r>
              <m:r>
                <m:t>0.01</m:t>
              </m:r>
              <m:r>
                <m:rPr>
                  <m:sty m:val="p"/>
                </m:rPr>
                <m:t>,</m:t>
              </m:r>
              <m:r>
                <m:t>0.1</m:t>
              </m:r>
              <m:r>
                <m:rPr>
                  <m:sty m:val="p"/>
                </m:rPr>
                <m:t>,</m:t>
              </m:r>
              <m:r>
                <m:t>0.5</m:t>
              </m:r>
              <m:r>
                <m:rPr>
                  <m:sty m:val="p"/>
                </m:rPr>
                <m:t>}</m:t>
              </m:r>
            </m:oMath>
            <w:r>
              <w:rPr>
                <w:rFonts w:hint="eastAsia" w:ascii="Times New Roman" w:hAnsi="Times New Roman" w:cs="Times New Roman" w:eastAsia="宋体"/>
                <w:b w:val="0"/>
                <w:color w:val="000000"/>
                <w:sz w:val="21"/>
              </w:rPr>
              <w:t xml:space="preserve">，各重复3次</w:t>
            </w:r>
          </w:p>
        </w:tc>
      </w:tr>
      <w:tr>
        <w:tc>
          <w:tcPr>
            <w:tcW w:type="dxa" w:w="2671"/>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窗口平移</w:t>
            </w:r>
          </w:p>
        </w:tc>
        <w:tc>
          <w:tcPr>
            <w:tcW w:type="dxa" w:w="6400"/>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音频/视觉窗口划分整体平移</w:t>
            </w:r>
            <w:r>
              <w:rPr>
                <w:rFonts w:ascii="Times New Roman" w:hAnsi="Times New Roman" w:cs="Times New Roman" w:eastAsia="宋体"/>
                <w:b w:val="0"/>
                <w:color w:val="000000"/>
                <w:sz w:val="21"/>
              </w:rPr>
              <w:t xml:space="preserve"> ±1 </w:t>
            </w:r>
            <w:r>
              <w:rPr>
                <w:rFonts w:hint="eastAsia" w:ascii="Times New Roman" w:hAnsi="Times New Roman" w:cs="Times New Roman" w:eastAsia="宋体"/>
                <w:b w:val="0"/>
                <w:color w:val="000000"/>
                <w:sz w:val="21"/>
              </w:rPr>
              <w:t xml:space="preserve">个桶位</w:t>
            </w:r>
          </w:p>
        </w:tc>
      </w:tr>
      <w:tr>
        <w:tc>
          <w:tcPr>
            <w:tcW w:type="dxa" w:w="2671"/>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解释随机种子</w:t>
            </w:r>
          </w:p>
        </w:tc>
        <w:tc>
          <w:tcPr>
            <w:tcW w:type="dxa" w:w="6400"/>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20260926（仅用于随机对照与扰动抽样）</w:t>
            </w:r>
          </w:p>
        </w:tc>
      </w:tr>
      <w:tr>
        <w:tc>
          <w:tcPr>
            <w:tcW w:type="dxa" w:w="2671"/>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文本证据输出</w:t>
            </w:r>
          </w:p>
        </w:tc>
        <w:tc>
          <w:tcPr>
            <w:tcW w:type="dxa" w:w="6400"/>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词元序号、词元、±3</w:t>
            </w:r>
            <w:r>
              <w:rPr>
                <w:rFonts w:ascii="Times New Roman" w:hAnsi="Times New Roman" w:cs="Times New Roman" w:eastAsia="宋体"/>
                <w:b w:val="0"/>
                <w:color w:val="000000"/>
                <w:sz w:val="21"/>
              </w:rPr>
              <w:t xml:space="preserve"> </w:t>
            </w:r>
            <w:r>
              <w:rPr>
                <w:rFonts w:hint="eastAsia" w:ascii="Times New Roman" w:hAnsi="Times New Roman" w:cs="Times New Roman" w:eastAsia="宋体"/>
                <w:b w:val="0"/>
                <w:color w:val="000000"/>
                <w:sz w:val="21"/>
              </w:rPr>
              <w:t xml:space="preserve">词元上下文、功能词标记</w:t>
            </w:r>
          </w:p>
        </w:tc>
      </w:tr>
      <w:tr>
        <w:tc>
          <w:tcPr>
            <w:tcW w:type="dxa" w:w="2671"/>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音频/视觉证据输出</w:t>
            </w:r>
          </w:p>
        </w:tc>
        <w:tc>
          <w:tcPr>
            <w:tcW w:type="dxa" w:w="6400"/>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附件2：桶位区间与相对位置；附件4：重建秒数、帧号与关键帧</w:t>
            </w:r>
          </w:p>
        </w:tc>
      </w:tr>
    </w:tbl>
    <w:bookmarkEnd w:id="18"/>
    <w:bookmarkStart w:id="19" w:name="验证集性能基线对比与错误分析"/>
    <w:p>
      <w:pPr>
        <w:pStyle w:val="Heading3"/>
      </w:pPr>
      <w:r>
        <w:rPr>
          <w:rFonts w:ascii="Times New Roman" w:hAnsi="Times New Roman" w:cs="Times New Roman" w:eastAsia="黑体"/>
          <w:b/>
          <w:color w:val="000000"/>
          <w:sz w:val="24"/>
        </w:rPr>
        <w:t xml:space="preserve">7.2.2 </w:t>
      </w:r>
      <w:r>
        <w:rPr>
          <w:rFonts w:hint="eastAsia" w:ascii="Times New Roman" w:hAnsi="Times New Roman" w:cs="Times New Roman" w:eastAsia="黑体"/>
          <w:b/>
          <w:color w:val="000000"/>
          <w:sz w:val="24"/>
        </w:rPr>
        <w:t xml:space="preserve">验证集性能、基线对比与错误分析</w:t>
      </w:r>
    </w:p>
    <w:p>
      <w:pPr>
        <w:pStyle w:val="FirstParagraph"/>
        <w:spacing w:before="0" w:after="0" w:line="360" w:lineRule="auto"/>
        <w:ind w:firstLine="480"/>
        <w:jc w:val="both"/>
      </w:pPr>
      <w:r>
        <w:rPr>
          <w:rFonts w:hint="eastAsia" w:ascii="Times New Roman" w:hAnsi="Times New Roman" w:cs="Times New Roman" w:eastAsia="宋体"/>
          <w:color w:val="000000"/>
          <w:sz w:val="24"/>
        </w:rPr>
        <w:t xml:space="preserve">被解释模型在附件2验证集上的准确率为0.6264。据第六章表6-1，多数类基线为0.4643，单文本、单音频与单视觉模型分别为0.6264、0.4666与0.4670；表6-2的消融结果显示，移除文本后准确率降至0.4620，移除音频或视觉后分别为0.6287与0.6236。上述结果表明，模型的判别能力几乎完全来源于文本模态。本节以此为参照，检验解释结果是否与模型的实际行为相一致。第六章图6-5的混淆矩阵进一步显示，中性类召回率最低，仅为34.2%，其中50.0%的中性样本被误判为正向。</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按预测正误与主要贡献模态对验证集分组，统计结果见表7-2。</w:t>
      </w:r>
    </w:p>
    <w:p>
      <w:pPr>
        <w:pStyle w:val="BodyText"/>
        <w:keepNext/>
        <w:spacing w:before="120" w:after="60" w:line="300" w:lineRule="auto"/>
        <w:ind w:firstLine="0"/>
        <w:jc w:val="center"/>
      </w:pPr>
      <w:r>
        <w:rPr>
          <w:rFonts w:hint="eastAsia" w:ascii="Times New Roman" w:hAnsi="Times New Roman" w:cs="Times New Roman" w:eastAsia="黑体"/>
          <w:b/>
          <w:bCs/>
          <w:color w:val="000000"/>
          <w:sz w:val="21"/>
        </w:rPr>
        <w:t xml:space="preserve">表7-2</w:t>
      </w:r>
      <w:r>
        <w:rPr>
          <w:rFonts w:ascii="Times New Roman" w:hAnsi="Times New Roman" w:cs="Times New Roman" w:eastAsia="黑体"/>
          <w:b/>
          <w:bCs/>
          <w:color w:val="000000"/>
          <w:sz w:val="21"/>
        </w:rPr>
        <w:t xml:space="preserve"> </w:t>
      </w:r>
      <w:r>
        <w:rPr>
          <w:rFonts w:hint="eastAsia" w:ascii="Times New Roman" w:hAnsi="Times New Roman" w:cs="Times New Roman" w:eastAsia="黑体"/>
          <w:b/>
          <w:bCs/>
          <w:color w:val="000000"/>
          <w:sz w:val="21"/>
        </w:rPr>
        <w:t xml:space="preserve">验证集分组错误分析</w:t>
      </w:r>
    </w:p>
    <w:tbl>
      <w:tblPr>
        <w:tblStyle w:val="Table"/>
        <w:tblW w:type="dxa" w:w="9072"/>
        <w:jc w:val="center"/>
        <w:tblLayout w:type="fixed"/>
        <w:tblLook w:firstRow="1" w:lastRow="0" w:firstColumn="0" w:lastColumn="0" w:noHBand="0" w:noVBand="0" w:val="002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CellMar>
          <w:left w:w="57" w:type="dxa"/>
          <w:right w:w="57" w:type="dxa"/>
        </w:tblCellMar>
      </w:tblPr>
      <w:tblGrid>
        <w:gridCol w:w="2200"/>
        <w:gridCol w:w="853"/>
        <w:gridCol w:w="1122"/>
        <w:gridCol w:w="1392"/>
        <w:gridCol w:w="1122"/>
        <w:gridCol w:w="1257"/>
        <w:gridCol w:w="1122"/>
      </w:tblGrid>
      <w:tr>
        <w:trPr>
          <w:tblHeader w:val="on"/>
          <w:tblHeader w:val="true"/>
        </w:trPr>
        <w:tc>
          <w:tcPr>
            <w:tcW w:type="dxa" w:w="2200"/>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21"/>
              </w:rPr>
              <w:t xml:space="preserve">样本分组</w:t>
            </w:r>
          </w:p>
        </w:tc>
        <w:tc>
          <w:tcPr>
            <w:tcW w:type="dxa" w:w="853"/>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21"/>
              </w:rPr>
              <w:t xml:space="preserve">样本数</w:t>
            </w:r>
          </w:p>
        </w:tc>
        <w:tc>
          <w:tcPr>
            <w:tcW w:type="dxa" w:w="1123"/>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21"/>
              </w:rPr>
              <w:t xml:space="preserve">准确率</w:t>
            </w:r>
          </w:p>
        </w:tc>
        <w:tc>
          <w:tcPr>
            <w:tcW w:type="dxa" w:w="1392"/>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21"/>
              </w:rPr>
              <w:t xml:space="preserve">预测类别概率均值</w:t>
            </w:r>
          </w:p>
        </w:tc>
        <w:tc>
          <w:tcPr>
            <w:tcW w:type="dxa" w:w="1123"/>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21"/>
              </w:rPr>
              <w:t xml:space="preserve">文本</w:t>
            </w:r>
            <w:r>
              <w:rPr>
                <w:rFonts w:ascii="Times New Roman" w:hAnsi="Times New Roman" w:cs="Times New Roman" w:eastAsia="宋体"/>
                <w:b/>
                <w:color w:val="000000"/>
                <w:sz w:val="21"/>
              </w:rPr>
              <w:t xml:space="preserve"> </w:t>
            </w:r>
            <m:oMath>
              <m:sSup>
                <m:e>
                  <m:r>
                    <m:rPr>
                      <m:sty m:val="p"/>
                    </m:rPr>
                    <m:t>Δ</m:t>
                  </m:r>
                </m:e>
                <m:sup>
                  <m:r>
                    <m:rPr>
                      <m:sty m:val="p"/>
                    </m:rPr>
                    <m:t>c</m:t>
                  </m:r>
                  <m:r>
                    <m:rPr>
                      <m:sty m:val="p"/>
                    </m:rPr>
                    <m:t>l</m:t>
                  </m:r>
                  <m:r>
                    <m:rPr>
                      <m:sty m:val="p"/>
                    </m:rPr>
                    <m:t>s</m:t>
                  </m:r>
                </m:sup>
              </m:sSup>
            </m:oMath>
            <w:r>
              <w:rPr>
                <w:rFonts w:ascii="Times New Roman" w:hAnsi="Times New Roman" w:cs="Times New Roman" w:eastAsia="宋体"/>
                <w:b/>
                <w:color w:val="000000"/>
                <w:sz w:val="21"/>
              </w:rPr>
              <w:t xml:space="preserve"> </w:t>
            </w:r>
            <w:r>
              <w:rPr>
                <w:rFonts w:hint="eastAsia" w:ascii="Times New Roman" w:hAnsi="Times New Roman" w:cs="Times New Roman" w:eastAsia="宋体"/>
                <w:b/>
                <w:color w:val="000000"/>
                <w:sz w:val="21"/>
              </w:rPr>
              <w:t xml:space="preserve">均值</w:t>
            </w:r>
          </w:p>
        </w:tc>
        <w:tc>
          <w:tcPr>
            <w:tcW w:type="dxa" w:w="1257"/>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21"/>
              </w:rPr>
              <w:t xml:space="preserve">音频</w:t>
            </w:r>
            <w:r>
              <w:rPr>
                <w:rFonts w:ascii="Times New Roman" w:hAnsi="Times New Roman" w:cs="Times New Roman" w:eastAsia="宋体"/>
                <w:b/>
                <w:color w:val="000000"/>
                <w:sz w:val="21"/>
              </w:rPr>
              <w:t xml:space="preserve"> </w:t>
            </w:r>
            <m:oMath>
              <m:sSup>
                <m:e>
                  <m:r>
                    <m:rPr>
                      <m:sty m:val="p"/>
                    </m:rPr>
                    <m:t>Δ</m:t>
                  </m:r>
                </m:e>
                <m:sup>
                  <m:r>
                    <m:rPr>
                      <m:sty m:val="p"/>
                    </m:rPr>
                    <m:t>c</m:t>
                  </m:r>
                  <m:r>
                    <m:rPr>
                      <m:sty m:val="p"/>
                    </m:rPr>
                    <m:t>l</m:t>
                  </m:r>
                  <m:r>
                    <m:rPr>
                      <m:sty m:val="p"/>
                    </m:rPr>
                    <m:t>s</m:t>
                  </m:r>
                </m:sup>
              </m:sSup>
            </m:oMath>
            <w:r>
              <w:rPr>
                <w:rFonts w:ascii="Times New Roman" w:hAnsi="Times New Roman" w:cs="Times New Roman" w:eastAsia="宋体"/>
                <w:b/>
                <w:color w:val="000000"/>
                <w:sz w:val="21"/>
              </w:rPr>
              <w:t xml:space="preserve"> </w:t>
            </w:r>
            <w:r>
              <w:rPr>
                <w:rFonts w:hint="eastAsia" w:ascii="Times New Roman" w:hAnsi="Times New Roman" w:cs="Times New Roman" w:eastAsia="宋体"/>
                <w:b/>
                <w:color w:val="000000"/>
                <w:sz w:val="21"/>
              </w:rPr>
              <w:t xml:space="preserve">均值</w:t>
            </w:r>
          </w:p>
        </w:tc>
        <w:tc>
          <w:tcPr>
            <w:tcW w:type="dxa" w:w="1123"/>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21"/>
              </w:rPr>
              <w:t xml:space="preserve">视觉</w:t>
            </w:r>
            <w:r>
              <w:rPr>
                <w:rFonts w:ascii="Times New Roman" w:hAnsi="Times New Roman" w:cs="Times New Roman" w:eastAsia="宋体"/>
                <w:b/>
                <w:color w:val="000000"/>
                <w:sz w:val="21"/>
              </w:rPr>
              <w:t xml:space="preserve"> </w:t>
            </w:r>
            <m:oMath>
              <m:sSup>
                <m:e>
                  <m:r>
                    <m:rPr>
                      <m:sty m:val="p"/>
                    </m:rPr>
                    <m:t>Δ</m:t>
                  </m:r>
                </m:e>
                <m:sup>
                  <m:r>
                    <m:rPr>
                      <m:sty m:val="p"/>
                    </m:rPr>
                    <m:t>c</m:t>
                  </m:r>
                  <m:r>
                    <m:rPr>
                      <m:sty m:val="p"/>
                    </m:rPr>
                    <m:t>l</m:t>
                  </m:r>
                  <m:r>
                    <m:rPr>
                      <m:sty m:val="p"/>
                    </m:rPr>
                    <m:t>s</m:t>
                  </m:r>
                </m:sup>
              </m:sSup>
            </m:oMath>
            <w:r>
              <w:rPr>
                <w:rFonts w:ascii="Times New Roman" w:hAnsi="Times New Roman" w:cs="Times New Roman" w:eastAsia="宋体"/>
                <w:b/>
                <w:color w:val="000000"/>
                <w:sz w:val="21"/>
              </w:rPr>
              <w:t xml:space="preserve"> </w:t>
            </w:r>
            <w:r>
              <w:rPr>
                <w:rFonts w:hint="eastAsia" w:ascii="Times New Roman" w:hAnsi="Times New Roman" w:cs="Times New Roman" w:eastAsia="宋体"/>
                <w:b/>
                <w:color w:val="000000"/>
                <w:sz w:val="21"/>
              </w:rPr>
              <w:t xml:space="preserve">均值</w:t>
            </w:r>
          </w:p>
        </w:tc>
      </w:tr>
      <w:tr>
        <w:tc>
          <w:tcPr>
            <w:tcW w:type="dxa" w:w="2200"/>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全部</w:t>
            </w:r>
          </w:p>
        </w:tc>
        <w:tc>
          <w:tcPr>
            <w:tcW w:type="dxa" w:w="85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728</w:t>
            </w:r>
          </w:p>
        </w:tc>
        <w:tc>
          <w:tcPr>
            <w:tcW w:type="dxa" w:w="112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0.6264</w:t>
            </w:r>
          </w:p>
        </w:tc>
        <w:tc>
          <w:tcPr>
            <w:tcW w:type="dxa" w:w="1392"/>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0.6720</w:t>
            </w:r>
          </w:p>
        </w:tc>
        <w:tc>
          <w:tcPr>
            <w:tcW w:type="dxa" w:w="112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0.3002</w:t>
            </w:r>
          </w:p>
        </w:tc>
        <w:tc>
          <w:tcPr>
            <w:tcW w:type="dxa" w:w="1257"/>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0.0136</w:t>
            </w:r>
          </w:p>
        </w:tc>
        <w:tc>
          <w:tcPr>
            <w:tcW w:type="dxa" w:w="112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0.0170</w:t>
            </w:r>
          </w:p>
        </w:tc>
      </w:tr>
      <w:tr>
        <w:tc>
          <w:tcPr>
            <w:tcW w:type="dxa" w:w="2200"/>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预测正确</w:t>
            </w:r>
          </w:p>
        </w:tc>
        <w:tc>
          <w:tcPr>
            <w:tcW w:type="dxa" w:w="85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456</w:t>
            </w:r>
          </w:p>
        </w:tc>
        <w:tc>
          <w:tcPr>
            <w:tcW w:type="dxa" w:w="112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w:t>
            </w:r>
          </w:p>
        </w:tc>
        <w:tc>
          <w:tcPr>
            <w:tcW w:type="dxa" w:w="1392"/>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0.7225</w:t>
            </w:r>
          </w:p>
        </w:tc>
        <w:tc>
          <w:tcPr>
            <w:tcW w:type="dxa" w:w="112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0.3508</w:t>
            </w:r>
          </w:p>
        </w:tc>
        <w:tc>
          <w:tcPr>
            <w:tcW w:type="dxa" w:w="1257"/>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0.0086</w:t>
            </w:r>
          </w:p>
        </w:tc>
        <w:tc>
          <w:tcPr>
            <w:tcW w:type="dxa" w:w="112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0.0173</w:t>
            </w:r>
          </w:p>
        </w:tc>
      </w:tr>
      <w:tr>
        <w:tc>
          <w:tcPr>
            <w:tcW w:type="dxa" w:w="2200"/>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预测错误</w:t>
            </w:r>
          </w:p>
        </w:tc>
        <w:tc>
          <w:tcPr>
            <w:tcW w:type="dxa" w:w="85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272</w:t>
            </w:r>
          </w:p>
        </w:tc>
        <w:tc>
          <w:tcPr>
            <w:tcW w:type="dxa" w:w="112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w:t>
            </w:r>
          </w:p>
        </w:tc>
        <w:tc>
          <w:tcPr>
            <w:tcW w:type="dxa" w:w="1392"/>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0.5873</w:t>
            </w:r>
          </w:p>
        </w:tc>
        <w:tc>
          <w:tcPr>
            <w:tcW w:type="dxa" w:w="112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0.2153</w:t>
            </w:r>
          </w:p>
        </w:tc>
        <w:tc>
          <w:tcPr>
            <w:tcW w:type="dxa" w:w="1257"/>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0.0219</w:t>
            </w:r>
          </w:p>
        </w:tc>
        <w:tc>
          <w:tcPr>
            <w:tcW w:type="dxa" w:w="112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0.0167</w:t>
            </w:r>
          </w:p>
        </w:tc>
      </w:tr>
      <w:tr>
        <w:tc>
          <w:tcPr>
            <w:tcW w:type="dxa" w:w="2200"/>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文本为主要模态</w:t>
            </w:r>
          </w:p>
        </w:tc>
        <w:tc>
          <w:tcPr>
            <w:tcW w:type="dxa" w:w="85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597</w:t>
            </w:r>
          </w:p>
        </w:tc>
        <w:tc>
          <w:tcPr>
            <w:tcW w:type="dxa" w:w="112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0.6683</w:t>
            </w:r>
          </w:p>
        </w:tc>
        <w:tc>
          <w:tcPr>
            <w:tcW w:type="dxa" w:w="1392"/>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0.7131</w:t>
            </w:r>
          </w:p>
        </w:tc>
        <w:tc>
          <w:tcPr>
            <w:tcW w:type="dxa" w:w="112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0.3594</w:t>
            </w:r>
          </w:p>
        </w:tc>
        <w:tc>
          <w:tcPr>
            <w:tcW w:type="dxa" w:w="1257"/>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−0.0010</w:t>
            </w:r>
          </w:p>
        </w:tc>
        <w:tc>
          <w:tcPr>
            <w:tcW w:type="dxa" w:w="112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0.0076</w:t>
            </w:r>
          </w:p>
        </w:tc>
      </w:tr>
      <w:tr>
        <w:tc>
          <w:tcPr>
            <w:tcW w:type="dxa" w:w="2200"/>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音频为主要模态</w:t>
            </w:r>
          </w:p>
        </w:tc>
        <w:tc>
          <w:tcPr>
            <w:tcW w:type="dxa" w:w="85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80</w:t>
            </w:r>
          </w:p>
        </w:tc>
        <w:tc>
          <w:tcPr>
            <w:tcW w:type="dxa" w:w="112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0.3750</w:t>
            </w:r>
          </w:p>
        </w:tc>
        <w:tc>
          <w:tcPr>
            <w:tcW w:type="dxa" w:w="1392"/>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0.4654</w:t>
            </w:r>
          </w:p>
        </w:tc>
        <w:tc>
          <w:tcPr>
            <w:tcW w:type="dxa" w:w="112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0.0277</w:t>
            </w:r>
          </w:p>
        </w:tc>
        <w:tc>
          <w:tcPr>
            <w:tcW w:type="dxa" w:w="1257"/>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0.1033</w:t>
            </w:r>
          </w:p>
        </w:tc>
        <w:tc>
          <w:tcPr>
            <w:tcW w:type="dxa" w:w="112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0.0275</w:t>
            </w:r>
          </w:p>
        </w:tc>
      </w:tr>
      <w:tr>
        <w:tc>
          <w:tcPr>
            <w:tcW w:type="dxa" w:w="2200"/>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21"/>
              </w:rPr>
              <w:t xml:space="preserve">视觉为主要模态</w:t>
            </w:r>
          </w:p>
        </w:tc>
        <w:tc>
          <w:tcPr>
            <w:tcW w:type="dxa" w:w="85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51</w:t>
            </w:r>
          </w:p>
        </w:tc>
        <w:tc>
          <w:tcPr>
            <w:tcW w:type="dxa" w:w="112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0.5294</w:t>
            </w:r>
          </w:p>
        </w:tc>
        <w:tc>
          <w:tcPr>
            <w:tcW w:type="dxa" w:w="1392"/>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0.5143</w:t>
            </w:r>
          </w:p>
        </w:tc>
        <w:tc>
          <w:tcPr>
            <w:tcW w:type="dxa" w:w="112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0.0346</w:t>
            </w:r>
          </w:p>
        </w:tc>
        <w:tc>
          <w:tcPr>
            <w:tcW w:type="dxa" w:w="1257"/>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0.0437</w:t>
            </w:r>
          </w:p>
        </w:tc>
        <w:tc>
          <w:tcPr>
            <w:tcW w:type="dxa" w:w="1123"/>
            <w:vAlign w:val="center"/>
          </w:tcPr>
          <w:p>
            <w:pPr>
              <w:pStyle w:val="Compact"/>
              <w:spacing w:before="30" w:after="30" w:line="240" w:lineRule="auto"/>
              <w:ind w:firstLine="0"/>
              <w:jc w:val="center"/>
            </w:pPr>
            <w:r>
              <w:rPr>
                <w:rFonts w:ascii="Times New Roman" w:hAnsi="Times New Roman" w:cs="Times New Roman" w:eastAsia="宋体"/>
                <w:b w:val="0"/>
                <w:color w:val="000000"/>
                <w:sz w:val="21"/>
              </w:rPr>
              <w:t xml:space="preserve">0.1111</w:t>
            </w:r>
          </w:p>
        </w:tc>
      </w:tr>
    </w:tbl>
    <w:p>
      <w:pPr>
        <w:pStyle w:val="BodyText"/>
        <w:spacing w:before="0" w:after="0" w:line="360" w:lineRule="auto"/>
        <w:ind w:firstLine="480"/>
        <w:jc w:val="both"/>
      </w:pPr>
      <w:r>
        <w:rPr>
          <w:rFonts w:hint="eastAsia" w:ascii="Times New Roman" w:hAnsi="Times New Roman" w:cs="Times New Roman" w:eastAsia="宋体"/>
          <w:color w:val="000000"/>
          <w:sz w:val="24"/>
        </w:rPr>
        <w:t xml:space="preserve">误判样本的预测类别概率均值（0.5873）与文本贡献均值（0.2153）均低于正确样本（0.7225与0.3508），Mann-Whitney</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U检验的</w:t>
      </w:r>
      <w:r>
        <w:rPr>
          <w:rFonts w:ascii="Times New Roman" w:hAnsi="Times New Roman" w:cs="Times New Roman" w:eastAsia="宋体"/>
          <w:color w:val="000000"/>
          <w:sz w:val="24"/>
        </w:rPr>
        <w:t xml:space="preserve"> </w:t>
      </w:r>
      <m:oMath>
        <m:r>
          <m:t>p</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值分别为</w:t>
      </w:r>
      <w:r>
        <w:rPr>
          <w:rFonts w:ascii="Times New Roman" w:hAnsi="Times New Roman" w:cs="Times New Roman" w:eastAsia="宋体"/>
          <w:color w:val="000000"/>
          <w:sz w:val="24"/>
        </w:rPr>
        <w:t xml:space="preserve"> </w:t>
      </w:r>
      <m:oMath>
        <m:r>
          <m:t>4.16</m:t>
        </m:r>
        <m:r>
          <m:rPr>
            <m:sty m:val="p"/>
          </m:rPr>
          <m:t>×</m:t>
        </m:r>
        <m:sSup>
          <m:e>
            <m:r>
              <m:t>10</m:t>
            </m:r>
          </m:e>
          <m:sup>
            <m:r>
              <m:rPr>
                <m:sty m:val="p"/>
              </m:rPr>
              <m:t>−</m:t>
            </m:r>
            <m:r>
              <m:t>22</m:t>
            </m:r>
          </m:sup>
        </m:sSup>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与</w:t>
      </w:r>
      <w:r>
        <w:rPr>
          <w:rFonts w:ascii="Times New Roman" w:hAnsi="Times New Roman" w:cs="Times New Roman" w:eastAsia="宋体"/>
          <w:color w:val="000000"/>
          <w:sz w:val="24"/>
        </w:rPr>
        <w:t xml:space="preserve"> </w:t>
      </w:r>
      <m:oMath>
        <m:r>
          <m:t>6.5</m:t>
        </m:r>
        <m:r>
          <m:rPr>
            <m:sty m:val="p"/>
          </m:rPr>
          <m:t>×</m:t>
        </m:r>
        <m:sSup>
          <m:e>
            <m:r>
              <m:t>10</m:t>
            </m:r>
          </m:e>
          <m:sup>
            <m:r>
              <m:rPr>
                <m:sty m:val="p"/>
              </m:rPr>
              <m:t>−</m:t>
            </m:r>
            <m:r>
              <m:t>18</m:t>
            </m:r>
          </m:sup>
        </m:sSup>
      </m:oMath>
      <w:r>
        <w:rPr>
          <w:rFonts w:hint="eastAsia" w:ascii="Times New Roman" w:hAnsi="Times New Roman" w:cs="Times New Roman" w:eastAsia="宋体"/>
          <w:color w:val="000000"/>
          <w:sz w:val="24"/>
        </w:rPr>
        <w:t xml:space="preserve">。误判集中于文本证据较弱、模型置信度较低的样本。以音频为主要模态的80条样本准确率仅为0.3750，低于多数类基线0.4643；该组文本贡献均值仅为0.0277，音频成为主要模态主要源于文本边际贡献的缺失，而非音频提供了可靠的判别信息。文本主导组的准确率（0.6683）与置信度（0.7131）在三组中均为最高。解释结果与第六章单模态基线及消融实验的结论相互印证。</w:t>
      </w:r>
    </w:p>
    <w:bookmarkEnd w:id="19"/>
    <w:bookmarkStart w:id="26" w:name="解释有效性与稳定性验证"/>
    <w:p>
      <w:pPr>
        <w:pStyle w:val="Heading3"/>
      </w:pPr>
      <w:r>
        <w:rPr>
          <w:rFonts w:ascii="Times New Roman" w:hAnsi="Times New Roman" w:cs="Times New Roman" w:eastAsia="黑体"/>
          <w:b/>
          <w:color w:val="000000"/>
          <w:sz w:val="24"/>
        </w:rPr>
        <w:t xml:space="preserve">7.2.3 </w:t>
      </w:r>
      <w:r>
        <w:rPr>
          <w:rFonts w:hint="eastAsia" w:ascii="Times New Roman" w:hAnsi="Times New Roman" w:cs="Times New Roman" w:eastAsia="黑体"/>
          <w:b/>
          <w:color w:val="000000"/>
          <w:sz w:val="24"/>
        </w:rPr>
        <w:t xml:space="preserve">解释有效性与稳定性验证</w:t>
      </w:r>
    </w:p>
    <w:p>
      <w:pPr>
        <w:pStyle w:val="FirstParagraph"/>
        <w:spacing w:before="0" w:after="0" w:line="360" w:lineRule="auto"/>
        <w:ind w:firstLine="480"/>
        <w:jc w:val="both"/>
      </w:pPr>
      <w:r>
        <w:rPr>
          <w:rFonts w:hint="eastAsia" w:ascii="Times New Roman" w:hAnsi="Times New Roman" w:cs="Times New Roman" w:eastAsia="宋体"/>
          <w:b/>
          <w:bCs/>
          <w:color w:val="000000"/>
          <w:sz w:val="24"/>
        </w:rPr>
        <w:t xml:space="preserve">（1）忠实度检验。</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忠实度（faithfulness）衡量解释所指认的证据是否确实驱动了模型输出。本文采用删除式检验[4]：若Top-K片段确为关键证据，遮蔽该片段对输出的影响应显著大于遮蔽等长随机片段。对每条样本，在其主要贡献模态内分别遮蔽Top-K片段与等长随机片段（随机片段重复抽取10次取均值），以预测类别概率的下降量</w:t>
      </w:r>
      <w:r>
        <w:rPr>
          <w:rFonts w:ascii="Times New Roman" w:hAnsi="Times New Roman" w:cs="Times New Roman" w:eastAsia="宋体"/>
          <w:color w:val="000000"/>
          <w:sz w:val="24"/>
        </w:rPr>
        <w:t xml:space="preserve"> </w:t>
      </w:r>
      <m:oMath>
        <m:r>
          <m:rPr>
            <m:sty m:val="p"/>
          </m:rPr>
          <m:t>Δ</m:t>
        </m:r>
        <m:r>
          <m:t>P</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度量影响，定义配对差</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024"/>
        <w:gridCol w:w="3024"/>
        <w:gridCol w:w="3024"/>
      </w:tblGrid>
      <w:tr>
        <w:tc>
          <w:tcPr>
            <w:tcW w:type="dxa" w:w="850"/>
            <w:vAlign w:val="center"/>
          </w:tcPr>
          <w:p>
            <w:pPr>
              <w:spacing w:before="80" w:after="80" w:line="240" w:lineRule="auto"/>
              <w:ind w:firstLine="0"/>
            </w:pPr>
          </w:p>
        </w:tc>
        <w:tc>
          <w:tcPr>
            <w:tcW w:type="dxa" w:w="7370"/>
            <w:vAlign w:val="center"/>
          </w:tcPr>
          <w:p>
            <w:pPr>
              <w:spacing w:before="80" w:after="80" w:line="240" w:lineRule="auto"/>
              <w:ind w:firstLine="0"/>
              <w:jc w:val="center"/>
            </w:pPr>
            <m:oMathPara>
              <m:oMathParaPr>
                <m:jc m:val="center"/>
              </m:oMathParaPr>
              <m:oMath>
                <m:sSub>
                  <m:e>
                    <m:r>
                      <m:t>D</m:t>
                    </m:r>
                  </m:e>
                  <m:sub>
                    <m:r>
                      <m:t>i</m:t>
                    </m:r>
                  </m:sub>
                </m:sSub>
                <m:r>
                  <m:rPr>
                    <m:sty m:val="p"/>
                  </m:rPr>
                  <m:t>=</m:t>
                </m:r>
                <m:r>
                  <m:rPr>
                    <m:sty m:val="p"/>
                  </m:rPr>
                  <m:t>Δ</m:t>
                </m:r>
                <m:sSubSup>
                  <m:e>
                    <m:r>
                      <m:t>P</m:t>
                    </m:r>
                  </m:e>
                  <m:sub>
                    <m:r>
                      <m:t>i</m:t>
                    </m:r>
                  </m:sub>
                  <m:sup>
                    <m:r>
                      <m:rPr>
                        <m:nor/>
                        <m:sty m:val="p"/>
                      </m:rPr>
                      <m:t>Top-</m:t>
                    </m:r>
                    <m:r>
                      <m:t>K</m:t>
                    </m:r>
                  </m:sup>
                </m:sSubSup>
                <m:r>
                  <m:rPr>
                    <m:sty m:val="p"/>
                  </m:rPr>
                  <m:t>−</m:t>
                </m:r>
                <m:sSubSup>
                  <m:e>
                    <m:bar>
                      <m:barPr>
                        <m:pos m:val="top"/>
                      </m:barPr>
                      <m:e>
                        <m:r>
                          <m:rPr>
                            <m:sty m:val="p"/>
                          </m:rPr>
                          <m:t>Δ</m:t>
                        </m:r>
                        <m:r>
                          <m:t>P</m:t>
                        </m:r>
                      </m:e>
                    </m:bar>
                  </m:e>
                  <m:sub>
                    <m:r>
                      <m:t>i</m:t>
                    </m:r>
                  </m:sub>
                  <m:sup>
                    <m:r>
                      <m:rPr>
                        <m:nor/>
                        <m:sty m:val="p"/>
                      </m:rPr>
                      <m:t>rand</m:t>
                    </m:r>
                  </m:sup>
                </m:sSubSup>
                <m:r>
                  <m:rPr>
                    <m:sty m:val="p"/>
                  </m:rPr>
                  <m:t>.</m:t>
                </m:r>
              </m:oMath>
            </m:oMathPara>
          </w:p>
        </w:tc>
        <w:tc>
          <w:tcPr>
            <w:tcW w:type="dxa" w:w="850"/>
            <w:vAlign w:val="center"/>
          </w:tcPr>
          <w:p>
            <w:pPr>
              <w:spacing w:before="80" w:after="80" w:line="240" w:lineRule="auto"/>
              <w:ind w:firstLine="0"/>
              <w:jc w:val="right"/>
            </w:pPr>
            <w:r>
              <w:rPr>
                <w:rFonts w:ascii="Times New Roman" w:hAnsi="Times New Roman" w:cs="Times New Roman" w:eastAsia="宋体"/>
                <w:color w:val="000000"/>
                <w:sz w:val="24"/>
              </w:rPr>
              <w:t>(7-6)</w:t>
            </w:r>
          </w:p>
        </w:tc>
      </w:tr>
    </w:tbl>
    <w:p>
      <w:pPr>
        <w:pStyle w:val="BodyText"/>
        <w:spacing w:before="0" w:after="0" w:line="360" w:lineRule="auto"/>
        <w:ind w:firstLine="480"/>
        <w:jc w:val="both"/>
      </w:pPr>
      <w:r>
        <w:rPr>
          <w:rFonts w:hint="eastAsia" w:ascii="Times New Roman" w:hAnsi="Times New Roman" w:cs="Times New Roman" w:eastAsia="宋体"/>
          <w:color w:val="000000"/>
          <w:sz w:val="24"/>
        </w:rPr>
        <w:t xml:space="preserve">检验结果见表7-3与图7-2。</w:t>
      </w:r>
      <m:oMath>
        <m:r>
          <m:t>K</m:t>
        </m:r>
        <m:r>
          <m:rPr>
            <m:sty m:val="p"/>
          </m:rPr>
          <m:t>=</m:t>
        </m:r>
        <m:r>
          <m:t>3</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时有效样本713条，Top-K片段引起的平均概率下降为0.0354，随机片段为−0.0031，按式(7-6)计算的配对差均值为0.0385（95%置信区间[0.0336,</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0.0435]，中位数0.0257），77.28%的样本配对差为正；</w:t>
      </w:r>
      <m:oMath>
        <m:r>
          <m:t>K</m:t>
        </m:r>
        <m:r>
          <m:rPr>
            <m:sty m:val="p"/>
          </m:rPr>
          <m:t>=</m:t>
        </m:r>
        <m:r>
          <m:t>5</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时有效样本703条，对应结果为0.0373、−0.0053与0.0426（95%置信区间[0.0370,</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0.0483]，中位数0.0305），配对差为正的样本占76.39%。Wilcoxon符号秩检验[6]的</w:t>
      </w:r>
      <w:r>
        <w:rPr>
          <w:rFonts w:ascii="Times New Roman" w:hAnsi="Times New Roman" w:cs="Times New Roman" w:eastAsia="宋体"/>
          <w:color w:val="000000"/>
          <w:sz w:val="24"/>
        </w:rPr>
        <w:t xml:space="preserve"> </w:t>
      </w:r>
      <m:oMath>
        <m:r>
          <m:t>p</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值分别为</w:t>
      </w:r>
      <w:r>
        <w:rPr>
          <w:rFonts w:ascii="Times New Roman" w:hAnsi="Times New Roman" w:cs="Times New Roman" w:eastAsia="宋体"/>
          <w:color w:val="000000"/>
          <w:sz w:val="24"/>
        </w:rPr>
        <w:t xml:space="preserve"> </w:t>
      </w:r>
      <m:oMath>
        <m:r>
          <m:t>5.85</m:t>
        </m:r>
        <m:r>
          <m:rPr>
            <m:sty m:val="p"/>
          </m:rPr>
          <m:t>×</m:t>
        </m:r>
        <m:sSup>
          <m:e>
            <m:r>
              <m:t>10</m:t>
            </m:r>
          </m:e>
          <m:sup>
            <m:r>
              <m:rPr>
                <m:sty m:val="p"/>
              </m:rPr>
              <m:t>−</m:t>
            </m:r>
            <m:r>
              <m:t>56</m:t>
            </m:r>
          </m:sup>
        </m:sSup>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与</w:t>
      </w:r>
      <w:r>
        <w:rPr>
          <w:rFonts w:ascii="Times New Roman" w:hAnsi="Times New Roman" w:cs="Times New Roman" w:eastAsia="宋体"/>
          <w:color w:val="000000"/>
          <w:sz w:val="24"/>
        </w:rPr>
        <w:t xml:space="preserve"> </w:t>
      </w:r>
      <m:oMath>
        <m:r>
          <m:t>1.33</m:t>
        </m:r>
        <m:r>
          <m:rPr>
            <m:sty m:val="p"/>
          </m:rPr>
          <m:t>×</m:t>
        </m:r>
        <m:sSup>
          <m:e>
            <m:r>
              <m:t>10</m:t>
            </m:r>
          </m:e>
          <m:sup>
            <m:r>
              <m:rPr>
                <m:sty m:val="p"/>
              </m:rPr>
              <m:t>−</m:t>
            </m:r>
            <m:r>
              <m:t>48</m:t>
            </m:r>
          </m:sup>
        </m:sSup>
      </m:oMath>
      <w:r>
        <w:rPr>
          <w:rFonts w:hint="eastAsia" w:ascii="Times New Roman" w:hAnsi="Times New Roman" w:cs="Times New Roman" w:eastAsia="宋体"/>
          <w:color w:val="000000"/>
          <w:sz w:val="24"/>
        </w:rPr>
        <w:t xml:space="preserve">，配对秩二列相关系数分别为0.6813与0.6378，属于较大效应。强度输出呈现一致的规律：遮蔽Top-K片段使强度绝对值平均下降0.0655（</w:t>
      </w:r>
      <m:oMath>
        <m:r>
          <m:t>K</m:t>
        </m:r>
        <m:r>
          <m:rPr>
            <m:sty m:val="p"/>
          </m:rPr>
          <m:t>=</m:t>
        </m:r>
        <m:r>
          <m:t>3</m:t>
        </m:r>
      </m:oMath>
      <w:r>
        <w:rPr>
          <w:rFonts w:hint="eastAsia" w:ascii="Times New Roman" w:hAnsi="Times New Roman" w:cs="Times New Roman" w:eastAsia="宋体"/>
          <w:color w:val="000000"/>
          <w:sz w:val="24"/>
        </w:rPr>
        <w:t xml:space="preserve">）与0.0642（</w:t>
      </w:r>
      <m:oMath>
        <m:r>
          <m:t>K</m:t>
        </m:r>
        <m:r>
          <m:rPr>
            <m:sty m:val="p"/>
          </m:rPr>
          <m:t>=</m:t>
        </m:r>
        <m:r>
          <m:t>5</m:t>
        </m:r>
      </m:oMath>
      <w:r>
        <w:rPr>
          <w:rFonts w:hint="eastAsia" w:ascii="Times New Roman" w:hAnsi="Times New Roman" w:cs="Times New Roman" w:eastAsia="宋体"/>
          <w:color w:val="000000"/>
          <w:sz w:val="24"/>
        </w:rPr>
        <w:t xml:space="preserve">），随机遮蔽则分别为−0.0112与−0.0144。两种</w:t>
      </w:r>
      <w:r>
        <w:rPr>
          <w:rFonts w:ascii="Times New Roman" w:hAnsi="Times New Roman" w:cs="Times New Roman" w:eastAsia="宋体"/>
          <w:color w:val="000000"/>
          <w:sz w:val="24"/>
        </w:rPr>
        <w:t xml:space="preserve"> </w:t>
      </w:r>
      <m:oMath>
        <m:r>
          <m:t>K</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取值下结论一致，表明结果对</w:t>
      </w:r>
      <w:r>
        <w:rPr>
          <w:rFonts w:ascii="Times New Roman" w:hAnsi="Times New Roman" w:cs="Times New Roman" w:eastAsia="宋体"/>
          <w:color w:val="000000"/>
          <w:sz w:val="24"/>
        </w:rPr>
        <w:t xml:space="preserve"> </w:t>
      </w:r>
      <m:oMath>
        <m:r>
          <m:t>K</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不敏感。</w:t>
      </w:r>
    </w:p>
    <w:p>
      <w:pPr>
        <w:pStyle w:val="BodyText"/>
        <w:keepNext/>
        <w:spacing w:before="120" w:after="60" w:line="300" w:lineRule="auto"/>
        <w:ind w:firstLine="0"/>
        <w:jc w:val="center"/>
      </w:pPr>
      <w:r>
        <w:rPr>
          <w:rFonts w:hint="eastAsia" w:ascii="Times New Roman" w:hAnsi="Times New Roman" w:cs="Times New Roman" w:eastAsia="黑体"/>
          <w:b/>
          <w:bCs/>
          <w:color w:val="000000"/>
          <w:sz w:val="21"/>
        </w:rPr>
        <w:t xml:space="preserve">表7-3</w:t>
      </w:r>
      <w:r>
        <w:rPr>
          <w:rFonts w:ascii="Times New Roman" w:hAnsi="Times New Roman" w:cs="Times New Roman" w:eastAsia="黑体"/>
          <w:b/>
          <w:bCs/>
          <w:color w:val="000000"/>
          <w:sz w:val="21"/>
        </w:rPr>
        <w:t xml:space="preserve"> </w:t>
      </w:r>
      <w:r>
        <w:rPr>
          <w:rFonts w:hint="eastAsia" w:ascii="Times New Roman" w:hAnsi="Times New Roman" w:cs="Times New Roman" w:eastAsia="黑体"/>
          <w:b/>
          <w:bCs/>
          <w:color w:val="000000"/>
          <w:sz w:val="21"/>
        </w:rPr>
        <w:t xml:space="preserve">解释忠实度与稳定性指标（附件2验证集）</w:t>
      </w:r>
    </w:p>
    <w:tbl>
      <w:tblPr>
        <w:tblStyle w:val="Table"/>
        <w:tblW w:type="dxa" w:w="9072"/>
        <w:jc w:val="center"/>
        <w:tblLayout w:type="fixed"/>
        <w:tblLook w:firstRow="1" w:lastRow="0" w:firstColumn="0" w:lastColumn="0" w:noHBand="0" w:noVBand="0" w:val="002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CellMar>
          <w:left w:w="57" w:type="dxa"/>
          <w:right w:w="57" w:type="dxa"/>
        </w:tblCellMar>
      </w:tblPr>
      <w:tblGrid>
        <w:gridCol w:w="649"/>
        <w:gridCol w:w="3527"/>
        <w:gridCol w:w="2727"/>
        <w:gridCol w:w="2168"/>
      </w:tblGrid>
      <w:tr>
        <w:trPr>
          <w:tblHeader w:val="on"/>
          <w:tblHeader w:val="true"/>
        </w:trPr>
        <w:tc>
          <w:tcPr>
            <w:tcW w:type="dxa" w:w="649"/>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检验</w:t>
            </w:r>
          </w:p>
        </w:tc>
        <w:tc>
          <w:tcPr>
            <w:tcW w:type="dxa" w:w="3527"/>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指标</w:t>
            </w:r>
          </w:p>
        </w:tc>
        <w:tc>
          <w:tcPr>
            <w:tcW w:type="dxa" w:w="2727"/>
            <w:tcBorders>
              <w:bottom w:val="single" w:sz="6" w:space="0" w:color="000000"/>
            </w:tcBorders>
            <w:vAlign w:val="center"/>
          </w:tcPr>
          <w:p>
            <w:pPr>
              <w:pStyle w:val="Compact"/>
              <w:spacing w:before="30" w:after="30" w:line="240" w:lineRule="auto"/>
              <w:ind w:firstLine="0"/>
              <w:jc w:val="center"/>
            </w:pPr>
            <w:r>
              <w:rPr>
                <w:rFonts w:ascii="Times New Roman" w:hAnsi="Times New Roman" w:cs="Times New Roman" w:eastAsia="宋体"/>
                <w:b/>
                <w:color w:val="000000"/>
                <w:sz w:val="18"/>
              </w:rPr>
              <w:t xml:space="preserve">K=3 / </w:t>
            </w:r>
            <w:r>
              <w:rPr>
                <w:rFonts w:hint="eastAsia" w:ascii="Times New Roman" w:hAnsi="Times New Roman" w:cs="Times New Roman" w:eastAsia="宋体"/>
                <w:b/>
                <w:color w:val="000000"/>
                <w:sz w:val="18"/>
              </w:rPr>
              <w:t xml:space="preserve">数值</w:t>
            </w:r>
          </w:p>
        </w:tc>
        <w:tc>
          <w:tcPr>
            <w:tcW w:type="dxa" w:w="2168"/>
            <w:tcBorders>
              <w:bottom w:val="single" w:sz="6" w:space="0" w:color="000000"/>
            </w:tcBorders>
            <w:vAlign w:val="center"/>
          </w:tcPr>
          <w:p>
            <w:pPr>
              <w:pStyle w:val="Compact"/>
              <w:spacing w:before="30" w:after="30" w:line="240" w:lineRule="auto"/>
              <w:ind w:firstLine="0"/>
              <w:jc w:val="center"/>
            </w:pPr>
            <w:r>
              <w:rPr>
                <w:rFonts w:ascii="Times New Roman" w:hAnsi="Times New Roman" w:cs="Times New Roman" w:eastAsia="宋体"/>
                <w:b/>
                <w:color w:val="000000"/>
                <w:sz w:val="18"/>
              </w:rPr>
              <w:t xml:space="preserve">K=5</w:t>
            </w:r>
          </w:p>
        </w:tc>
      </w:tr>
      <w:tr>
        <w:tc>
          <w:tcPr>
            <w:tcW w:type="dxa" w:w="649"/>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忠实度</w:t>
            </w:r>
          </w:p>
        </w:tc>
        <w:tc>
          <w:tcPr>
            <w:tcW w:type="dxa" w:w="3527"/>
            <w:vAlign w:val="center"/>
          </w:tcPr>
          <w:p>
            <w:pPr>
              <w:pStyle w:val="Compact"/>
              <w:spacing w:before="30" w:after="30" w:line="240" w:lineRule="auto"/>
              <w:ind w:firstLine="0"/>
              <w:jc w:val="left"/>
            </w:pPr>
            <w:r>
              <w:rPr>
                <w:rFonts w:ascii="Times New Roman" w:hAnsi="Times New Roman" w:cs="Times New Roman" w:eastAsia="宋体"/>
                <w:b w:val="0"/>
                <w:color w:val="000000"/>
                <w:sz w:val="18"/>
              </w:rPr>
              <w:t xml:space="preserve">Top-K </w:t>
            </w:r>
            <w:r>
              <w:rPr>
                <w:rFonts w:hint="eastAsia" w:ascii="Times New Roman" w:hAnsi="Times New Roman" w:cs="Times New Roman" w:eastAsia="宋体"/>
                <w:b w:val="0"/>
                <w:color w:val="000000"/>
                <w:sz w:val="18"/>
              </w:rPr>
              <w:t xml:space="preserve">遮蔽</w:t>
            </w:r>
            <w:r>
              <w:rPr>
                <w:rFonts w:ascii="Times New Roman" w:hAnsi="Times New Roman" w:cs="Times New Roman" w:eastAsia="宋体"/>
                <w:b w:val="0"/>
                <w:color w:val="000000"/>
                <w:sz w:val="18"/>
              </w:rPr>
              <w:t xml:space="preserve"> </w:t>
            </w:r>
            <m:oMath>
              <m:r>
                <m:rPr>
                  <m:sty m:val="p"/>
                </m:rPr>
                <m:t>Δ</m:t>
              </m:r>
              <m:r>
                <m:t>P</m:t>
              </m:r>
            </m:oMath>
            <w:r>
              <w:rPr>
                <w:rFonts w:ascii="Times New Roman" w:hAnsi="Times New Roman" w:cs="Times New Roman" w:eastAsia="宋体"/>
                <w:b w:val="0"/>
                <w:color w:val="000000"/>
                <w:sz w:val="18"/>
              </w:rPr>
              <w:t xml:space="preserve"> </w:t>
            </w:r>
            <w:r>
              <w:rPr>
                <w:rFonts w:hint="eastAsia" w:ascii="Times New Roman" w:hAnsi="Times New Roman" w:cs="Times New Roman" w:eastAsia="宋体"/>
                <w:b w:val="0"/>
                <w:color w:val="000000"/>
                <w:sz w:val="18"/>
              </w:rPr>
              <w:t xml:space="preserve">均值</w:t>
            </w:r>
          </w:p>
        </w:tc>
        <w:tc>
          <w:tcPr>
            <w:tcW w:type="dxa" w:w="272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0.0354</w:t>
            </w:r>
          </w:p>
        </w:tc>
        <w:tc>
          <w:tcPr>
            <w:tcW w:type="dxa" w:w="2168"/>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0.0373</w:t>
            </w:r>
          </w:p>
        </w:tc>
      </w:tr>
      <w:tr>
        <w:tc>
          <w:tcPr>
            <w:tcW w:type="dxa" w:w="649"/>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忠实度</w:t>
            </w:r>
          </w:p>
        </w:tc>
        <w:tc>
          <w:tcPr>
            <w:tcW w:type="dxa" w:w="3527"/>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随机遮蔽</w:t>
            </w:r>
            <w:r>
              <w:rPr>
                <w:rFonts w:ascii="Times New Roman" w:hAnsi="Times New Roman" w:cs="Times New Roman" w:eastAsia="宋体"/>
                <w:b w:val="0"/>
                <w:color w:val="000000"/>
                <w:sz w:val="18"/>
              </w:rPr>
              <w:t xml:space="preserve"> </w:t>
            </w:r>
            <m:oMath>
              <m:r>
                <m:rPr>
                  <m:sty m:val="p"/>
                </m:rPr>
                <m:t>Δ</m:t>
              </m:r>
              <m:r>
                <m:t>P</m:t>
              </m:r>
            </m:oMath>
            <w:r>
              <w:rPr>
                <w:rFonts w:ascii="Times New Roman" w:hAnsi="Times New Roman" w:cs="Times New Roman" w:eastAsia="宋体"/>
                <w:b w:val="0"/>
                <w:color w:val="000000"/>
                <w:sz w:val="18"/>
              </w:rPr>
              <w:t xml:space="preserve"> </w:t>
            </w:r>
            <w:r>
              <w:rPr>
                <w:rFonts w:hint="eastAsia" w:ascii="Times New Roman" w:hAnsi="Times New Roman" w:cs="Times New Roman" w:eastAsia="宋体"/>
                <w:b w:val="0"/>
                <w:color w:val="000000"/>
                <w:sz w:val="18"/>
              </w:rPr>
              <w:t xml:space="preserve">均值</w:t>
            </w:r>
          </w:p>
        </w:tc>
        <w:tc>
          <w:tcPr>
            <w:tcW w:type="dxa" w:w="272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−0.0031</w:t>
            </w:r>
          </w:p>
        </w:tc>
        <w:tc>
          <w:tcPr>
            <w:tcW w:type="dxa" w:w="2168"/>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−0.0053</w:t>
            </w:r>
          </w:p>
        </w:tc>
      </w:tr>
      <w:tr>
        <w:tc>
          <w:tcPr>
            <w:tcW w:type="dxa" w:w="649"/>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忠实度</w:t>
            </w:r>
          </w:p>
        </w:tc>
        <w:tc>
          <w:tcPr>
            <w:tcW w:type="dxa" w:w="3527"/>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配对差</w:t>
            </w:r>
            <w:r>
              <w:rPr>
                <w:rFonts w:ascii="Times New Roman" w:hAnsi="Times New Roman" w:cs="Times New Roman" w:eastAsia="宋体"/>
                <w:b w:val="0"/>
                <w:color w:val="000000"/>
                <w:sz w:val="18"/>
              </w:rPr>
              <w:t xml:space="preserve"> </w:t>
            </w:r>
            <m:oMath>
              <m:r>
                <m:t>D</m:t>
              </m:r>
            </m:oMath>
            <w:r>
              <w:rPr>
                <w:rFonts w:ascii="Times New Roman" w:hAnsi="Times New Roman" w:cs="Times New Roman" w:eastAsia="宋体"/>
                <w:b w:val="0"/>
                <w:color w:val="000000"/>
                <w:sz w:val="18"/>
              </w:rPr>
              <w:t xml:space="preserve"> </w:t>
            </w:r>
            <w:r>
              <w:rPr>
                <w:rFonts w:hint="eastAsia" w:ascii="Times New Roman" w:hAnsi="Times New Roman" w:cs="Times New Roman" w:eastAsia="宋体"/>
                <w:b w:val="0"/>
                <w:color w:val="000000"/>
                <w:sz w:val="18"/>
              </w:rPr>
              <w:t xml:space="preserve">均值（</w:t>
            </w:r>
            <m:oMath>
              <m:r>
                <m:t>D</m:t>
              </m:r>
              <m:r>
                <m:rPr>
                  <m:sty m:val="p"/>
                </m:rPr>
                <m:t>&gt;</m:t>
              </m:r>
              <m:r>
                <m:t>0</m:t>
              </m:r>
            </m:oMath>
            <w:r>
              <w:rPr>
                <w:rFonts w:ascii="Times New Roman" w:hAnsi="Times New Roman" w:cs="Times New Roman" w:eastAsia="宋体"/>
                <w:b w:val="0"/>
                <w:color w:val="000000"/>
                <w:sz w:val="18"/>
              </w:rPr>
              <w:t xml:space="preserve"> </w:t>
            </w:r>
            <w:r>
              <w:rPr>
                <w:rFonts w:hint="eastAsia" w:ascii="Times New Roman" w:hAnsi="Times New Roman" w:cs="Times New Roman" w:eastAsia="宋体"/>
                <w:b w:val="0"/>
                <w:color w:val="000000"/>
                <w:sz w:val="18"/>
              </w:rPr>
              <w:t xml:space="preserve">的比例）</w:t>
            </w:r>
          </w:p>
        </w:tc>
        <w:tc>
          <w:tcPr>
            <w:tcW w:type="dxa" w:w="272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0.0385（77.28%）</w:t>
            </w:r>
          </w:p>
        </w:tc>
        <w:tc>
          <w:tcPr>
            <w:tcW w:type="dxa" w:w="2168"/>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0.0426（76.39%）</w:t>
            </w:r>
          </w:p>
        </w:tc>
      </w:tr>
      <w:tr>
        <w:tc>
          <w:tcPr>
            <w:tcW w:type="dxa" w:w="649"/>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忠实度</w:t>
            </w:r>
          </w:p>
        </w:tc>
        <w:tc>
          <w:tcPr>
            <w:tcW w:type="dxa" w:w="3527"/>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配对差：文本组</w:t>
            </w:r>
            <w:r>
              <w:rPr>
                <w:rFonts w:ascii="Times New Roman" w:hAnsi="Times New Roman" w:cs="Times New Roman" w:eastAsia="宋体"/>
                <w:b w:val="0"/>
                <w:color w:val="000000"/>
                <w:sz w:val="18"/>
              </w:rPr>
              <w:t xml:space="preserve"> / </w:t>
            </w:r>
            <w:r>
              <w:rPr>
                <w:rFonts w:hint="eastAsia" w:ascii="Times New Roman" w:hAnsi="Times New Roman" w:cs="Times New Roman" w:eastAsia="宋体"/>
                <w:b w:val="0"/>
                <w:color w:val="000000"/>
                <w:sz w:val="18"/>
              </w:rPr>
              <w:t xml:space="preserve">音频组</w:t>
            </w:r>
            <w:r>
              <w:rPr>
                <w:rFonts w:ascii="Times New Roman" w:hAnsi="Times New Roman" w:cs="Times New Roman" w:eastAsia="宋体"/>
                <w:b w:val="0"/>
                <w:color w:val="000000"/>
                <w:sz w:val="18"/>
              </w:rPr>
              <w:t xml:space="preserve"> / </w:t>
            </w:r>
            <w:r>
              <w:rPr>
                <w:rFonts w:hint="eastAsia" w:ascii="Times New Roman" w:hAnsi="Times New Roman" w:cs="Times New Roman" w:eastAsia="宋体"/>
                <w:b w:val="0"/>
                <w:color w:val="000000"/>
                <w:sz w:val="18"/>
              </w:rPr>
              <w:t xml:space="preserve">视觉组</w:t>
            </w:r>
          </w:p>
        </w:tc>
        <w:tc>
          <w:tcPr>
            <w:tcW w:type="dxa" w:w="272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0.0449 / 0.0111 / −0.0003</w:t>
            </w:r>
          </w:p>
        </w:tc>
        <w:tc>
          <w:tcPr>
            <w:tcW w:type="dxa" w:w="2168"/>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0.0486 / 0.0200 / −0.0032</w:t>
            </w:r>
          </w:p>
        </w:tc>
      </w:tr>
      <w:tr>
        <w:tc>
          <w:tcPr>
            <w:tcW w:type="dxa" w:w="649"/>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忠实度</w:t>
            </w:r>
          </w:p>
        </w:tc>
        <w:tc>
          <w:tcPr>
            <w:tcW w:type="dxa" w:w="3527"/>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类别翻转率：Top-K</w:t>
            </w:r>
            <w:r>
              <w:rPr>
                <w:rFonts w:ascii="Times New Roman" w:hAnsi="Times New Roman" w:cs="Times New Roman" w:eastAsia="宋体"/>
                <w:b w:val="0"/>
                <w:color w:val="000000"/>
                <w:sz w:val="18"/>
              </w:rPr>
              <w:t xml:space="preserve"> / </w:t>
            </w:r>
            <w:r>
              <w:rPr>
                <w:rFonts w:hint="eastAsia" w:ascii="Times New Roman" w:hAnsi="Times New Roman" w:cs="Times New Roman" w:eastAsia="宋体"/>
                <w:b w:val="0"/>
                <w:color w:val="000000"/>
                <w:sz w:val="18"/>
              </w:rPr>
              <w:t xml:space="preserve">随机</w:t>
            </w:r>
          </w:p>
        </w:tc>
        <w:tc>
          <w:tcPr>
            <w:tcW w:type="dxa" w:w="272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6.73% / 6.73%</w:t>
            </w:r>
          </w:p>
        </w:tc>
        <w:tc>
          <w:tcPr>
            <w:tcW w:type="dxa" w:w="2168"/>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7.40% / 7.68%</w:t>
            </w:r>
          </w:p>
        </w:tc>
      </w:tr>
      <w:tr>
        <w:tc>
          <w:tcPr>
            <w:tcW w:type="dxa" w:w="649"/>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忠实度</w:t>
            </w:r>
          </w:p>
        </w:tc>
        <w:tc>
          <w:tcPr>
            <w:tcW w:type="dxa" w:w="3527"/>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完整输入概率：翻转</w:t>
            </w:r>
            <w:r>
              <w:rPr>
                <w:rFonts w:ascii="Times New Roman" w:hAnsi="Times New Roman" w:cs="Times New Roman" w:eastAsia="宋体"/>
                <w:b w:val="0"/>
                <w:color w:val="000000"/>
                <w:sz w:val="18"/>
              </w:rPr>
              <w:t xml:space="preserve"> / </w:t>
            </w:r>
            <w:r>
              <w:rPr>
                <w:rFonts w:hint="eastAsia" w:ascii="Times New Roman" w:hAnsi="Times New Roman" w:cs="Times New Roman" w:eastAsia="宋体"/>
                <w:b w:val="0"/>
                <w:color w:val="000000"/>
                <w:sz w:val="18"/>
              </w:rPr>
              <w:t xml:space="preserve">未翻转样本</w:t>
            </w:r>
          </w:p>
        </w:tc>
        <w:tc>
          <w:tcPr>
            <w:tcW w:type="dxa" w:w="272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0.4715 / 0.6900</w:t>
            </w:r>
          </w:p>
        </w:tc>
        <w:tc>
          <w:tcPr>
            <w:tcW w:type="dxa" w:w="2168"/>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0.4693 / 0.6941</w:t>
            </w:r>
          </w:p>
        </w:tc>
      </w:tr>
      <w:tr>
        <w:tc>
          <w:tcPr>
            <w:tcW w:type="dxa" w:w="649"/>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稳定性</w:t>
            </w:r>
          </w:p>
        </w:tc>
        <w:tc>
          <w:tcPr>
            <w:tcW w:type="dxa" w:w="3527"/>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窗口平移</w:t>
            </w:r>
            <w:r>
              <w:rPr>
                <w:rFonts w:ascii="Times New Roman" w:hAnsi="Times New Roman" w:cs="Times New Roman" w:eastAsia="宋体"/>
                <w:b w:val="0"/>
                <w:color w:val="000000"/>
                <w:sz w:val="18"/>
              </w:rPr>
              <w:t xml:space="preserve"> −1 / </w:t>
            </w:r>
            <w:r>
              <w:rPr>
                <w:rFonts w:hint="eastAsia" w:ascii="Times New Roman" w:hAnsi="Times New Roman" w:cs="Times New Roman" w:eastAsia="宋体"/>
                <w:b w:val="0"/>
                <w:color w:val="000000"/>
                <w:sz w:val="18"/>
              </w:rPr>
              <w:t xml:space="preserve">+1：音频位置重要性</w:t>
            </w:r>
            <w:r>
              <w:rPr>
                <w:rFonts w:ascii="Times New Roman" w:hAnsi="Times New Roman" w:cs="Times New Roman" w:eastAsia="宋体"/>
                <w:b w:val="0"/>
                <w:color w:val="000000"/>
                <w:sz w:val="18"/>
              </w:rPr>
              <w:t xml:space="preserve"> Spearman</w:t>
            </w:r>
          </w:p>
        </w:tc>
        <w:tc>
          <w:tcPr>
            <w:tcW w:type="dxa" w:w="272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0.9991 / 0.9590</w:t>
            </w:r>
          </w:p>
        </w:tc>
        <w:tc>
          <w:tcPr>
            <w:tcW w:type="dxa" w:w="2168"/>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w:t>
            </w:r>
          </w:p>
        </w:tc>
      </w:tr>
      <w:tr>
        <w:tc>
          <w:tcPr>
            <w:tcW w:type="dxa" w:w="649"/>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稳定性</w:t>
            </w:r>
          </w:p>
        </w:tc>
        <w:tc>
          <w:tcPr>
            <w:tcW w:type="dxa" w:w="3527"/>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窗口平移</w:t>
            </w:r>
            <w:r>
              <w:rPr>
                <w:rFonts w:ascii="Times New Roman" w:hAnsi="Times New Roman" w:cs="Times New Roman" w:eastAsia="宋体"/>
                <w:b w:val="0"/>
                <w:color w:val="000000"/>
                <w:sz w:val="18"/>
              </w:rPr>
              <w:t xml:space="preserve"> −1 / </w:t>
            </w:r>
            <w:r>
              <w:rPr>
                <w:rFonts w:hint="eastAsia" w:ascii="Times New Roman" w:hAnsi="Times New Roman" w:cs="Times New Roman" w:eastAsia="宋体"/>
                <w:b w:val="0"/>
                <w:color w:val="000000"/>
                <w:sz w:val="18"/>
              </w:rPr>
              <w:t xml:space="preserve">+1：视觉位置重要性</w:t>
            </w:r>
            <w:r>
              <w:rPr>
                <w:rFonts w:ascii="Times New Roman" w:hAnsi="Times New Roman" w:cs="Times New Roman" w:eastAsia="宋体"/>
                <w:b w:val="0"/>
                <w:color w:val="000000"/>
                <w:sz w:val="18"/>
              </w:rPr>
              <w:t xml:space="preserve"> Spearman</w:t>
            </w:r>
          </w:p>
        </w:tc>
        <w:tc>
          <w:tcPr>
            <w:tcW w:type="dxa" w:w="272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0.9993 / 0.9532</w:t>
            </w:r>
          </w:p>
        </w:tc>
        <w:tc>
          <w:tcPr>
            <w:tcW w:type="dxa" w:w="2168"/>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w:t>
            </w:r>
          </w:p>
        </w:tc>
      </w:tr>
      <w:tr>
        <w:tc>
          <w:tcPr>
            <w:tcW w:type="dxa" w:w="649"/>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稳定性</w:t>
            </w:r>
          </w:p>
        </w:tc>
        <w:tc>
          <w:tcPr>
            <w:tcW w:type="dxa" w:w="3527"/>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窗口平移</w:t>
            </w:r>
            <w:r>
              <w:rPr>
                <w:rFonts w:ascii="Times New Roman" w:hAnsi="Times New Roman" w:cs="Times New Roman" w:eastAsia="宋体"/>
                <w:b w:val="0"/>
                <w:color w:val="000000"/>
                <w:sz w:val="18"/>
              </w:rPr>
              <w:t xml:space="preserve"> −1 / </w:t>
            </w:r>
            <w:r>
              <w:rPr>
                <w:rFonts w:hint="eastAsia" w:ascii="Times New Roman" w:hAnsi="Times New Roman" w:cs="Times New Roman" w:eastAsia="宋体"/>
                <w:b w:val="0"/>
                <w:color w:val="000000"/>
                <w:sz w:val="18"/>
              </w:rPr>
              <w:t xml:space="preserve">+1：音频</w:t>
            </w:r>
            <w:r>
              <w:rPr>
                <w:rFonts w:ascii="Times New Roman" w:hAnsi="Times New Roman" w:cs="Times New Roman" w:eastAsia="宋体"/>
                <w:b w:val="0"/>
                <w:color w:val="000000"/>
                <w:sz w:val="18"/>
              </w:rPr>
              <w:t xml:space="preserve"> / </w:t>
            </w:r>
            <w:r>
              <w:rPr>
                <w:rFonts w:hint="eastAsia" w:ascii="Times New Roman" w:hAnsi="Times New Roman" w:cs="Times New Roman" w:eastAsia="宋体"/>
                <w:b w:val="0"/>
                <w:color w:val="000000"/>
                <w:sz w:val="18"/>
              </w:rPr>
              <w:t xml:space="preserve">视觉</w:t>
            </w:r>
            <w:r>
              <w:rPr>
                <w:rFonts w:ascii="Times New Roman" w:hAnsi="Times New Roman" w:cs="Times New Roman" w:eastAsia="宋体"/>
                <w:b w:val="0"/>
                <w:color w:val="000000"/>
                <w:sz w:val="18"/>
              </w:rPr>
              <w:t xml:space="preserve"> Top-5 </w:t>
            </w:r>
            <w:r>
              <w:rPr>
                <w:rFonts w:hint="eastAsia" w:ascii="Times New Roman" w:hAnsi="Times New Roman" w:cs="Times New Roman" w:eastAsia="宋体"/>
                <w:b w:val="0"/>
                <w:color w:val="000000"/>
                <w:sz w:val="18"/>
              </w:rPr>
              <w:t xml:space="preserve">重合率</w:t>
            </w:r>
          </w:p>
        </w:tc>
        <w:tc>
          <w:tcPr>
            <w:tcW w:type="dxa" w:w="272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0.9985 / </w:t>
            </w:r>
            <w:r>
              <w:rPr>
                <w:rFonts w:hint="eastAsia" w:ascii="Times New Roman" w:hAnsi="Times New Roman" w:cs="Times New Roman" w:eastAsia="宋体"/>
                <w:b w:val="0"/>
                <w:color w:val="000000"/>
                <w:sz w:val="18"/>
              </w:rPr>
              <w:t xml:space="preserve">0.9173；0.9981</w:t>
            </w:r>
            <w:r>
              <w:rPr>
                <w:rFonts w:ascii="Times New Roman" w:hAnsi="Times New Roman" w:cs="Times New Roman" w:eastAsia="宋体"/>
                <w:b w:val="0"/>
                <w:color w:val="000000"/>
                <w:sz w:val="18"/>
              </w:rPr>
              <w:t xml:space="preserve"> / 0.9235</w:t>
            </w:r>
          </w:p>
        </w:tc>
        <w:tc>
          <w:tcPr>
            <w:tcW w:type="dxa" w:w="2168"/>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w:t>
            </w:r>
          </w:p>
        </w:tc>
      </w:tr>
      <w:tr>
        <w:tc>
          <w:tcPr>
            <w:tcW w:type="dxa" w:w="649"/>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稳定性</w:t>
            </w:r>
          </w:p>
        </w:tc>
        <w:tc>
          <w:tcPr>
            <w:tcW w:type="dxa" w:w="3527"/>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扰动</w:t>
            </w:r>
            <w:r>
              <w:rPr>
                <w:rFonts w:ascii="Times New Roman" w:hAnsi="Times New Roman" w:cs="Times New Roman" w:eastAsia="宋体"/>
                <w:b w:val="0"/>
                <w:color w:val="000000"/>
                <w:sz w:val="18"/>
              </w:rPr>
              <w:t xml:space="preserve"> σ=0.01 / 0.1 / </w:t>
            </w:r>
            <w:r>
              <w:rPr>
                <w:rFonts w:hint="eastAsia" w:ascii="Times New Roman" w:hAnsi="Times New Roman" w:cs="Times New Roman" w:eastAsia="宋体"/>
                <w:b w:val="0"/>
                <w:color w:val="000000"/>
                <w:sz w:val="18"/>
              </w:rPr>
              <w:t xml:space="preserve">0.5：贡献符号一致率</w:t>
            </w:r>
          </w:p>
        </w:tc>
        <w:tc>
          <w:tcPr>
            <w:tcW w:type="dxa" w:w="272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0.9998 / 0.9957 / 0.9679</w:t>
            </w:r>
          </w:p>
        </w:tc>
        <w:tc>
          <w:tcPr>
            <w:tcW w:type="dxa" w:w="2168"/>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w:t>
            </w:r>
          </w:p>
        </w:tc>
      </w:tr>
      <w:tr>
        <w:tc>
          <w:tcPr>
            <w:tcW w:type="dxa" w:w="649"/>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稳定性</w:t>
            </w:r>
          </w:p>
        </w:tc>
        <w:tc>
          <w:tcPr>
            <w:tcW w:type="dxa" w:w="3527"/>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扰动</w:t>
            </w:r>
            <w:r>
              <w:rPr>
                <w:rFonts w:ascii="Times New Roman" w:hAnsi="Times New Roman" w:cs="Times New Roman" w:eastAsia="宋体"/>
                <w:b w:val="0"/>
                <w:color w:val="000000"/>
                <w:sz w:val="18"/>
              </w:rPr>
              <w:t xml:space="preserve"> σ=0.01 / 0.1 / </w:t>
            </w:r>
            <w:r>
              <w:rPr>
                <w:rFonts w:hint="eastAsia" w:ascii="Times New Roman" w:hAnsi="Times New Roman" w:cs="Times New Roman" w:eastAsia="宋体"/>
                <w:b w:val="0"/>
                <w:color w:val="000000"/>
                <w:sz w:val="18"/>
              </w:rPr>
              <w:t xml:space="preserve">0.5：模态排名</w:t>
            </w:r>
            <w:r>
              <w:rPr>
                <w:rFonts w:ascii="Times New Roman" w:hAnsi="Times New Roman" w:cs="Times New Roman" w:eastAsia="宋体"/>
                <w:b w:val="0"/>
                <w:color w:val="000000"/>
                <w:sz w:val="18"/>
              </w:rPr>
              <w:t xml:space="preserve"> Spearman</w:t>
            </w:r>
          </w:p>
        </w:tc>
        <w:tc>
          <w:tcPr>
            <w:tcW w:type="dxa" w:w="272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0.9995 / 0.9921 / 0.9462</w:t>
            </w:r>
          </w:p>
        </w:tc>
        <w:tc>
          <w:tcPr>
            <w:tcW w:type="dxa" w:w="2168"/>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w:t>
            </w:r>
          </w:p>
        </w:tc>
      </w:tr>
    </w:tbl>
    <w:p>
      <w:pPr>
        <w:pStyle w:val="BodyText"/>
        <w:keepNext/>
        <w:spacing w:before="120" w:after="0" w:line="240" w:lineRule="auto"/>
        <w:ind w:firstLine="0"/>
        <w:jc w:val="center"/>
      </w:pPr>
      <w:r>
        <w:drawing>
          <wp:inline>
            <wp:extent cx="5334000" cy="2815583"/>
            <wp:effectExtent b="0" l="0" r="0" t="0"/>
            <wp:docPr descr="" title="" id="21" name="Picture"/>
            <a:graphic>
              <a:graphicData uri="http://schemas.openxmlformats.org/drawingml/2006/picture">
                <pic:pic>
                  <pic:nvPicPr>
                    <pic:cNvPr descr="figures/图7-2_Top-K重要片段与随机片段的忠实度比较.png" id="22" name="Picture"/>
                    <pic:cNvPicPr>
                      <a:picLocks noChangeArrowheads="1" noChangeAspect="1"/>
                    </pic:cNvPicPr>
                  </pic:nvPicPr>
                  <pic:blipFill>
                    <a:blip r:embed="rId20"/>
                    <a:stretch>
                      <a:fillRect/>
                    </a:stretch>
                  </pic:blipFill>
                  <pic:spPr bwMode="auto">
                    <a:xfrm>
                      <a:off x="0" y="0"/>
                      <a:ext cx="5334000" cy="2815583"/>
                    </a:xfrm>
                    <a:prstGeom prst="rect">
                      <a:avLst/>
                    </a:prstGeom>
                    <a:noFill/>
                    <a:ln w="9525">
                      <a:noFill/>
                      <a:headEnd/>
                      <a:tailEnd/>
                    </a:ln>
                  </pic:spPr>
                </pic:pic>
              </a:graphicData>
            </a:graphic>
          </wp:inline>
        </w:drawing>
      </w:r>
    </w:p>
    <w:p>
      <w:pPr>
        <w:pStyle w:val="BodyText"/>
        <w:spacing w:before="0" w:after="180" w:line="300" w:lineRule="auto"/>
        <w:ind w:firstLine="0"/>
        <w:jc w:val="center"/>
      </w:pPr>
      <w:r>
        <w:rPr>
          <w:rFonts w:hint="eastAsia" w:ascii="Times New Roman" w:hAnsi="Times New Roman" w:cs="Times New Roman" w:eastAsia="黑体"/>
          <w:b/>
          <w:bCs/>
          <w:color w:val="000000"/>
          <w:sz w:val="21"/>
        </w:rPr>
        <w:t xml:space="preserve">图7-2</w:t>
      </w:r>
      <w:r>
        <w:rPr>
          <w:rFonts w:ascii="Times New Roman" w:hAnsi="Times New Roman" w:cs="Times New Roman" w:eastAsia="黑体"/>
          <w:b/>
          <w:bCs/>
          <w:color w:val="000000"/>
          <w:sz w:val="21"/>
        </w:rPr>
        <w:t xml:space="preserve"> </w:t>
      </w:r>
      <w:r>
        <w:rPr>
          <w:rFonts w:hint="eastAsia" w:ascii="Times New Roman" w:hAnsi="Times New Roman" w:cs="Times New Roman" w:eastAsia="黑体"/>
          <w:b/>
          <w:bCs/>
          <w:color w:val="000000"/>
          <w:sz w:val="21"/>
        </w:rPr>
        <w:t xml:space="preserve">Top-K重要片段与随机片段的忠实度比较。</w:t>
      </w:r>
      <w:r>
        <w:rPr>
          <w:rFonts w:hint="eastAsia" w:ascii="Times New Roman" w:hAnsi="Times New Roman" w:cs="Times New Roman" w:eastAsia="宋体"/>
          <w:color w:val="000000"/>
          <w:sz w:val="21"/>
        </w:rPr>
        <w:t xml:space="preserve">（a）预测类别概率下降，误差线为95%置信区间；（b）类别翻转率；（c）Top-K遮蔽后翻转与未翻转样本在完整输入下的预测类别概率。</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在置信度层面，解释所选片段对预测置信度的削弱作用显著强于随机片段，而随机片段的平均效应接近零甚至略为负值，解释满足置信度意义上的忠实性。在决策层面，遮蔽重要片段并未带来更高的类别翻转率（图7-2(b)）。翻转样本在完整输入下的预测概率均值约为0.47，未翻转样本约为0.69（图7-2(c)）；完整输入概率与是否翻转的点二列相关系数为−0.3027（</w:t>
      </w:r>
      <m:oMath>
        <m:r>
          <m:t>K</m:t>
        </m:r>
        <m:r>
          <m:rPr>
            <m:sty m:val="p"/>
          </m:rPr>
          <m:t>=</m:t>
        </m:r>
        <m:r>
          <m:t>3</m:t>
        </m:r>
      </m:oMath>
      <w:r>
        <w:rPr>
          <w:rFonts w:hint="eastAsia" w:ascii="Times New Roman" w:hAnsi="Times New Roman" w:cs="Times New Roman" w:eastAsia="宋体"/>
          <w:color w:val="000000"/>
          <w:sz w:val="24"/>
        </w:rPr>
        <w:t xml:space="preserve">）与−0.3251（</w:t>
      </w:r>
      <m:oMath>
        <m:r>
          <m:t>K</m:t>
        </m:r>
        <m:r>
          <m:rPr>
            <m:sty m:val="p"/>
          </m:rPr>
          <m:t>=</m:t>
        </m:r>
        <m:r>
          <m:t>5</m:t>
        </m:r>
      </m:oMath>
      <w:r>
        <w:rPr>
          <w:rFonts w:hint="eastAsia" w:ascii="Times New Roman" w:hAnsi="Times New Roman" w:cs="Times New Roman" w:eastAsia="宋体"/>
          <w:color w:val="000000"/>
          <w:sz w:val="24"/>
        </w:rPr>
        <w:t xml:space="preserve">），</w:t>
      </w:r>
      <m:oMath>
        <m:r>
          <m:t>p</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值均小于</w:t>
      </w:r>
      <w:r>
        <w:rPr>
          <w:rFonts w:ascii="Times New Roman" w:hAnsi="Times New Roman" w:cs="Times New Roman" w:eastAsia="宋体"/>
          <w:color w:val="000000"/>
          <w:sz w:val="24"/>
        </w:rPr>
        <w:t xml:space="preserve"> </w:t>
      </w:r>
      <m:oMath>
        <m:sSup>
          <m:e>
            <m:r>
              <m:t>10</m:t>
            </m:r>
          </m:e>
          <m:sup>
            <m:r>
              <m:rPr>
                <m:sty m:val="p"/>
              </m:rPr>
              <m:t>−</m:t>
            </m:r>
            <m:r>
              <m:t>15</m:t>
            </m:r>
          </m:sup>
        </m:sSup>
      </m:oMath>
      <w:r>
        <w:rPr>
          <w:rFonts w:hint="eastAsia" w:ascii="Times New Roman" w:hAnsi="Times New Roman" w:cs="Times New Roman" w:eastAsia="宋体"/>
          <w:color w:val="000000"/>
          <w:sz w:val="24"/>
        </w:rPr>
        <w:t xml:space="preserve">。可见类别翻转主要由样本与决策边界的距离决定，而非由被遮蔽片段的重要性决定。</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按解释模态分层后，文本组配对差为0.0449与0.0486，音频组为0.0111与0.0200，视觉组接近于零（−0.0003与−0.0032）。以文本为解释模态的样本约占83%（</w:t>
      </w:r>
      <m:oMath>
        <m:r>
          <m:t>K</m:t>
        </m:r>
        <m:r>
          <m:rPr>
            <m:sty m:val="p"/>
          </m:rPr>
          <m:t>=</m:t>
        </m:r>
        <m:r>
          <m:t>3</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为83.2%，</w:t>
      </w:r>
      <m:oMath>
        <m:r>
          <m:t>K</m:t>
        </m:r>
        <m:r>
          <m:rPr>
            <m:sty m:val="p"/>
          </m:rPr>
          <m:t>=</m:t>
        </m:r>
        <m:r>
          <m:t>5</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为83.8%），总体忠实度主要由文本贡献，音频与视觉局部证据的忠实性缺乏充分支持。据此，本文将忠实度结论限定为置信度层面、以文本模态为主，不将其外推至类别决策层面，亦不作因果解读。</w:t>
      </w:r>
    </w:p>
    <w:p>
      <w:pPr>
        <w:pStyle w:val="BodyText"/>
        <w:spacing w:before="0" w:after="0" w:line="360" w:lineRule="auto"/>
        <w:ind w:firstLine="480"/>
        <w:jc w:val="both"/>
      </w:pPr>
      <w:r>
        <w:rPr>
          <w:rFonts w:hint="eastAsia" w:ascii="Times New Roman" w:hAnsi="Times New Roman" w:cs="Times New Roman" w:eastAsia="宋体"/>
          <w:b/>
          <w:bCs/>
          <w:color w:val="000000"/>
          <w:sz w:val="24"/>
        </w:rPr>
        <w:t xml:space="preserve">（2）稳定性检验。</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稳定性（robustness）刻画输入或解释配置发生微小变化时解释结果的一致程度[5]。本文考察同一冻结权重下的两类变化：窗口划分整体平移与输入加性高斯扰动。由于推理过程是确定的，改变推理随机数不产生任何差异，因而不能以重复推理的方式评估稳定性。度量指标包括位置重要性序列的Spearman秩相关、Top-5位置重合率、三模态贡献的符号一致率以及样本内模态排序的Spearman秩相关，结果见表7-3与图7-3。</w:t>
      </w:r>
    </w:p>
    <w:p>
      <w:pPr>
        <w:pStyle w:val="BodyText"/>
        <w:keepNext/>
        <w:spacing w:before="120" w:after="0" w:line="240" w:lineRule="auto"/>
        <w:ind w:firstLine="0"/>
        <w:jc w:val="center"/>
      </w:pPr>
      <w:r>
        <w:drawing>
          <wp:inline>
            <wp:extent cx="5334000" cy="2706014"/>
            <wp:effectExtent b="0" l="0" r="0" t="0"/>
            <wp:docPr descr="" title="" id="24" name="Picture"/>
            <a:graphic>
              <a:graphicData uri="http://schemas.openxmlformats.org/drawingml/2006/picture">
                <pic:pic>
                  <pic:nvPicPr>
                    <pic:cNvPr descr="figures/图7-3_窗口平移与输入扰动下的解释稳定性.png" id="25" name="Picture"/>
                    <pic:cNvPicPr>
                      <a:picLocks noChangeArrowheads="1" noChangeAspect="1"/>
                    </pic:cNvPicPr>
                  </pic:nvPicPr>
                  <pic:blipFill>
                    <a:blip r:embed="rId23"/>
                    <a:stretch>
                      <a:fillRect/>
                    </a:stretch>
                  </pic:blipFill>
                  <pic:spPr bwMode="auto">
                    <a:xfrm>
                      <a:off x="0" y="0"/>
                      <a:ext cx="5334000" cy="2706014"/>
                    </a:xfrm>
                    <a:prstGeom prst="rect">
                      <a:avLst/>
                    </a:prstGeom>
                    <a:noFill/>
                    <a:ln w="9525">
                      <a:noFill/>
                      <a:headEnd/>
                      <a:tailEnd/>
                    </a:ln>
                  </pic:spPr>
                </pic:pic>
              </a:graphicData>
            </a:graphic>
          </wp:inline>
        </w:drawing>
      </w:r>
    </w:p>
    <w:p>
      <w:pPr>
        <w:pStyle w:val="BodyText"/>
        <w:spacing w:before="0" w:after="180" w:line="300" w:lineRule="auto"/>
        <w:ind w:firstLine="0"/>
        <w:jc w:val="center"/>
      </w:pPr>
      <w:r>
        <w:rPr>
          <w:rFonts w:hint="eastAsia" w:ascii="Times New Roman" w:hAnsi="Times New Roman" w:cs="Times New Roman" w:eastAsia="黑体"/>
          <w:b/>
          <w:bCs/>
          <w:color w:val="000000"/>
          <w:sz w:val="21"/>
        </w:rPr>
        <w:t xml:space="preserve">图7-3</w:t>
      </w:r>
      <w:r>
        <w:rPr>
          <w:rFonts w:ascii="Times New Roman" w:hAnsi="Times New Roman" w:cs="Times New Roman" w:eastAsia="黑体"/>
          <w:b/>
          <w:bCs/>
          <w:color w:val="000000"/>
          <w:sz w:val="21"/>
        </w:rPr>
        <w:t xml:space="preserve"> </w:t>
      </w:r>
      <w:r>
        <w:rPr>
          <w:rFonts w:hint="eastAsia" w:ascii="Times New Roman" w:hAnsi="Times New Roman" w:cs="Times New Roman" w:eastAsia="黑体"/>
          <w:b/>
          <w:bCs/>
          <w:color w:val="000000"/>
          <w:sz w:val="21"/>
        </w:rPr>
        <w:t xml:space="preserve">窗口平移与输入扰动下的解释稳定性。</w:t>
      </w:r>
      <w:r>
        <w:rPr>
          <w:rFonts w:hint="eastAsia" w:ascii="Times New Roman" w:hAnsi="Times New Roman" w:cs="Times New Roman" w:eastAsia="宋体"/>
          <w:color w:val="000000"/>
          <w:sz w:val="21"/>
        </w:rPr>
        <w:t xml:space="preserve">（a）音频、视觉窗口整体平移±1个桶位后的位置重要性Spearman相关与Top-5重合率（728条样本均值）；（b）已观测位置叠加不同强度高斯噪声后的三模态贡献符号一致率与样本内模态排名Spearman相关。</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窗口整体平移一个桶位后，音频与视觉位置重要性的Spearman秩相关介于0.9532～0.9993，Top-5重合率介于0.9173～0.9985。+1平移的一致性低于−1平移，原因在于窗口起点移至网格末端后可评估窗口数减少，属于实现层面的边界效应。输入扰动下，一致性随</w:t>
      </w:r>
      <w:r>
        <w:rPr>
          <w:rFonts w:ascii="Times New Roman" w:hAnsi="Times New Roman" w:cs="Times New Roman" w:eastAsia="宋体"/>
          <w:color w:val="000000"/>
          <w:sz w:val="24"/>
        </w:rPr>
        <w:t xml:space="preserve"> </w:t>
      </w:r>
      <m:oMath>
        <m:r>
          <m:t>σ</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增大单调下降；</w:t>
      </w:r>
      <m:oMath>
        <m:r>
          <m:t>σ</m:t>
        </m:r>
        <m:r>
          <m:rPr>
            <m:sty m:val="p"/>
          </m:rPr>
          <m:t>=</m:t>
        </m:r>
        <m:r>
          <m:t>0.5</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相当于在标准化特征上叠加0.5倍标准差的噪声，此时贡献符号一致率仍为0.9679，模态排序秩相关为0.9462。需要指出，符号一致率按“模态×样本”合并统计，而文本贡献在94.64%的样本上为正，总体指标主要由文本决定；现有结果未分别给出音频、视觉的一致率及逐样本分布，图7-3(b)仅报告总体点估计。</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总体而言，在同一冻结模型下，解释结果对窗口平移与输入扰动具有较好的稳健性。由于未开展多训练种子的重训与重算，该结论不能推广至不同训练种子之间。</w:t>
      </w:r>
    </w:p>
    <w:p>
      <w:pPr>
        <w:pStyle w:val="BodyText"/>
        <w:spacing w:before="0" w:after="0" w:line="360" w:lineRule="auto"/>
        <w:ind w:firstLine="480"/>
        <w:jc w:val="both"/>
      </w:pPr>
      <w:r>
        <w:rPr>
          <w:rFonts w:hint="eastAsia" w:ascii="Times New Roman" w:hAnsi="Times New Roman" w:cs="Times New Roman" w:eastAsia="宋体"/>
          <w:b/>
          <w:bCs/>
          <w:color w:val="000000"/>
          <w:sz w:val="24"/>
        </w:rPr>
        <w:t xml:space="preserve">（3）稀疏性与分散性。</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按Top-5规则，三种模态均保留约四分之一的可评估单元：文本平均24.52个词元中保留4.98个，音频19.55个窗口中保留4.79个，视觉18.17个窗口中保留4.55个。以关键单元的位置跨度衡量，文本、音频、视觉分别有432、546、491条样本（59.3%、75.0%、67.4%）的关键证据呈分散分布。这与掩码平均池化的全局聚合特性相符：Top-5仅代表局部边际效应最大的位置，模型决策并不局限于这些位置。</w:t>
      </w:r>
    </w:p>
    <w:bookmarkEnd w:id="26"/>
    <w:bookmarkStart w:id="30" w:name="典型样本解释卡"/>
    <w:p>
      <w:pPr>
        <w:pStyle w:val="Heading3"/>
      </w:pPr>
      <w:r>
        <w:rPr>
          <w:rFonts w:ascii="Times New Roman" w:hAnsi="Times New Roman" w:cs="Times New Roman" w:eastAsia="黑体"/>
          <w:b/>
          <w:color w:val="000000"/>
          <w:sz w:val="24"/>
        </w:rPr>
        <w:t xml:space="preserve">7.2.4 </w:t>
      </w:r>
      <w:r>
        <w:rPr>
          <w:rFonts w:hint="eastAsia" w:ascii="Times New Roman" w:hAnsi="Times New Roman" w:cs="Times New Roman" w:eastAsia="黑体"/>
          <w:b/>
          <w:color w:val="000000"/>
          <w:sz w:val="24"/>
        </w:rPr>
        <w:t xml:space="preserve">典型样本解释卡</w:t>
      </w:r>
    </w:p>
    <w:p>
      <w:pPr>
        <w:pStyle w:val="FirstParagraph"/>
        <w:spacing w:before="0" w:after="0" w:line="360" w:lineRule="auto"/>
        <w:ind w:firstLine="480"/>
        <w:jc w:val="both"/>
      </w:pPr>
      <w:r>
        <w:rPr>
          <w:rFonts w:hint="eastAsia" w:ascii="Times New Roman" w:hAnsi="Times New Roman" w:cs="Times New Roman" w:eastAsia="宋体"/>
          <w:color w:val="000000"/>
          <w:sz w:val="24"/>
        </w:rPr>
        <w:t xml:space="preserve">为展示解释结果的判读方式，按预设规则从验证集中自动抽取三类样本生成解释卡：文本主导且置信度不低于0.6的典型样本、完整输入预测概率最低的边界样本，以及音频或视觉主导的样本。抽样规则事先固定，避免选择性呈现。三张解释卡的要点汇总于图7-4，完整解释卡列入附件。</w:t>
      </w:r>
    </w:p>
    <w:p>
      <w:pPr>
        <w:pStyle w:val="BodyText"/>
        <w:keepNext/>
        <w:spacing w:before="120" w:after="0" w:line="240" w:lineRule="auto"/>
        <w:ind w:firstLine="0"/>
        <w:jc w:val="center"/>
      </w:pPr>
      <w:r>
        <w:drawing>
          <wp:inline>
            <wp:extent cx="5334000" cy="3375461"/>
            <wp:effectExtent b="0" l="0" r="0" t="0"/>
            <wp:docPr descr="" title="" id="28" name="Picture"/>
            <a:graphic>
              <a:graphicData uri="http://schemas.openxmlformats.org/drawingml/2006/picture">
                <pic:pic>
                  <pic:nvPicPr>
                    <pic:cNvPr descr="figures/图7-4_验证集典型解释案例.png" id="29" name="Picture"/>
                    <pic:cNvPicPr>
                      <a:picLocks noChangeArrowheads="1" noChangeAspect="1"/>
                    </pic:cNvPicPr>
                  </pic:nvPicPr>
                  <pic:blipFill>
                    <a:blip r:embed="rId27"/>
                    <a:stretch>
                      <a:fillRect/>
                    </a:stretch>
                  </pic:blipFill>
                  <pic:spPr bwMode="auto">
                    <a:xfrm>
                      <a:off x="0" y="0"/>
                      <a:ext cx="5334000" cy="3375461"/>
                    </a:xfrm>
                    <a:prstGeom prst="rect">
                      <a:avLst/>
                    </a:prstGeom>
                    <a:noFill/>
                    <a:ln w="9525">
                      <a:noFill/>
                      <a:headEnd/>
                      <a:tailEnd/>
                    </a:ln>
                  </pic:spPr>
                </pic:pic>
              </a:graphicData>
            </a:graphic>
          </wp:inline>
        </w:drawing>
      </w:r>
    </w:p>
    <w:p>
      <w:pPr>
        <w:pStyle w:val="BodyText"/>
        <w:spacing w:before="0" w:after="180" w:line="300" w:lineRule="auto"/>
        <w:ind w:firstLine="0"/>
        <w:jc w:val="center"/>
      </w:pPr>
      <w:r>
        <w:rPr>
          <w:rFonts w:hint="eastAsia" w:ascii="Times New Roman" w:hAnsi="Times New Roman" w:cs="Times New Roman" w:eastAsia="黑体"/>
          <w:b/>
          <w:bCs/>
          <w:color w:val="000000"/>
          <w:sz w:val="21"/>
        </w:rPr>
        <w:t xml:space="preserve">图7-4</w:t>
      </w:r>
      <w:r>
        <w:rPr>
          <w:rFonts w:ascii="Times New Roman" w:hAnsi="Times New Roman" w:cs="Times New Roman" w:eastAsia="黑体"/>
          <w:b/>
          <w:bCs/>
          <w:color w:val="000000"/>
          <w:sz w:val="21"/>
        </w:rPr>
        <w:t xml:space="preserve"> </w:t>
      </w:r>
      <w:r>
        <w:rPr>
          <w:rFonts w:hint="eastAsia" w:ascii="Times New Roman" w:hAnsi="Times New Roman" w:cs="Times New Roman" w:eastAsia="黑体"/>
          <w:b/>
          <w:bCs/>
          <w:color w:val="000000"/>
          <w:sz w:val="21"/>
        </w:rPr>
        <w:t xml:space="preserve">验证集典型解释案例。</w:t>
      </w:r>
      <w:r>
        <w:rPr>
          <w:rFonts w:ascii="Times New Roman" w:hAnsi="Times New Roman" w:cs="Times New Roman" w:eastAsia="宋体"/>
          <w:color w:val="000000"/>
          <w:sz w:val="21"/>
        </w:rPr>
        <w:t xml:space="preserve"> </w:t>
      </w:r>
      <w:r>
        <w:rPr>
          <w:rFonts w:hint="eastAsia" w:ascii="Times New Roman" w:hAnsi="Times New Roman" w:cs="Times New Roman" w:eastAsia="宋体"/>
          <w:color w:val="000000"/>
          <w:sz w:val="21"/>
        </w:rPr>
        <w:t xml:space="preserve">上行为三模态分类贡献，下行为文本Top-5词元的分类贡献及其±3词元上下文。</w:t>
      </w:r>
    </w:p>
    <w:p>
      <w:pPr>
        <w:pStyle w:val="BodyText"/>
        <w:spacing w:before="0" w:after="0" w:line="360" w:lineRule="auto"/>
        <w:ind w:firstLine="480"/>
        <w:jc w:val="both"/>
      </w:pPr>
      <w:r>
        <w:rPr>
          <w:rFonts w:hint="eastAsia" w:ascii="Times New Roman" w:hAnsi="Times New Roman" w:cs="Times New Roman" w:eastAsia="宋体"/>
          <w:b/>
          <w:bCs/>
          <w:color w:val="000000"/>
          <w:sz w:val="24"/>
        </w:rPr>
        <w:t xml:space="preserve">文本主导样本</w:t>
      </w:r>
      <w:r>
        <w:rPr>
          <w:rFonts w:hint="eastAsia" w:ascii="Times New Roman" w:hAnsi="Times New Roman" w:cs="Times New Roman" w:eastAsia="宋体"/>
          <w:color w:val="000000"/>
          <w:sz w:val="24"/>
        </w:rPr>
        <w:t xml:space="preserve">（</w:t>
      </w:r>
      <w:r>
        <w:rPr>
          <w:rStyle w:val="VerbatimChar"/>
          <w:rFonts w:ascii="Times New Roman" w:hAnsi="Times New Roman" w:cs="Times New Roman" w:eastAsia="宋体"/>
          <w:color w:val="000000"/>
          <w:sz w:val="24"/>
        </w:rPr>
        <w:t xml:space="preserve">-UacrmKiTn4$_$7</w:t>
      </w:r>
      <w:r>
        <w:rPr>
          <w:rFonts w:hint="eastAsia" w:ascii="Times New Roman" w:hAnsi="Times New Roman" w:cs="Times New Roman" w:eastAsia="宋体"/>
          <w:color w:val="000000"/>
          <w:sz w:val="24"/>
        </w:rPr>
        <w:t xml:space="preserve">，真实正向，预测正向，</w:t>
      </w:r>
      <m:oMath>
        <m:r>
          <m:t>p</m:t>
        </m:r>
        <m:r>
          <m:rPr>
            <m:sty m:val="p"/>
          </m:rPr>
          <m:t>=</m:t>
        </m:r>
        <m:r>
          <m:t>0.7245</m:t>
        </m:r>
      </m:oMath>
      <w:r>
        <w:rPr>
          <w:rFonts w:hint="eastAsia" w:ascii="Times New Roman" w:hAnsi="Times New Roman" w:cs="Times New Roman" w:eastAsia="宋体"/>
          <w:color w:val="000000"/>
          <w:sz w:val="24"/>
        </w:rPr>
        <w:t xml:space="preserve">）。文本、音频、视觉的分类贡献分别为+0.3342、+0.0124与−0.0007，经式(7-3)归一化后文本占0.9624。然而文本Top-5证据中有4个为功能词（your、you、on、[SEP]），唯一的内容词为</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test（+0.0090），须结合“you</w:t>
      </w:r>
      <w:r>
        <w:rPr>
          <w:rFonts w:ascii="Times New Roman" w:hAnsi="Times New Roman" w:cs="Times New Roman" w:eastAsia="宋体"/>
          <w:color w:val="000000"/>
          <w:sz w:val="24"/>
        </w:rPr>
        <w:t xml:space="preserve"> want your lectures to </w:t>
      </w:r>
      <w:r>
        <w:rPr>
          <w:rFonts w:hint="eastAsia" w:ascii="Times New Roman" w:hAnsi="Times New Roman" w:cs="Times New Roman" w:eastAsia="宋体"/>
          <w:color w:val="000000"/>
          <w:sz w:val="24"/>
        </w:rPr>
        <w:t xml:space="preserve">be”与“important</w:t>
      </w:r>
      <w:r>
        <w:rPr>
          <w:rFonts w:ascii="Times New Roman" w:hAnsi="Times New Roman" w:cs="Times New Roman" w:eastAsia="宋体"/>
          <w:color w:val="000000"/>
          <w:sz w:val="24"/>
        </w:rPr>
        <w:t xml:space="preserve"> that you test the students </w:t>
      </w:r>
      <w:r>
        <w:rPr>
          <w:rFonts w:hint="eastAsia" w:ascii="Times New Roman" w:hAnsi="Times New Roman" w:cs="Times New Roman" w:eastAsia="宋体"/>
          <w:color w:val="000000"/>
          <w:sz w:val="24"/>
        </w:rPr>
        <w:t xml:space="preserve">on”两段上下文方能还原语义。该例表明，即便模态级贡献明确，单词元证据仍易落于功能词，上下文窗口对判读不可或缺。</w:t>
      </w:r>
    </w:p>
    <w:p>
      <w:pPr>
        <w:pStyle w:val="BodyText"/>
        <w:spacing w:before="0" w:after="0" w:line="360" w:lineRule="auto"/>
        <w:ind w:firstLine="480"/>
        <w:jc w:val="both"/>
      </w:pPr>
      <w:r>
        <w:rPr>
          <w:rFonts w:hint="eastAsia" w:ascii="Times New Roman" w:hAnsi="Times New Roman" w:cs="Times New Roman" w:eastAsia="宋体"/>
          <w:b/>
          <w:bCs/>
          <w:color w:val="000000"/>
          <w:sz w:val="24"/>
        </w:rPr>
        <w:t xml:space="preserve">低置信边界样本</w:t>
      </w:r>
      <w:r>
        <w:rPr>
          <w:rFonts w:hint="eastAsia" w:ascii="Times New Roman" w:hAnsi="Times New Roman" w:cs="Times New Roman" w:eastAsia="宋体"/>
          <w:color w:val="000000"/>
          <w:sz w:val="24"/>
        </w:rPr>
        <w:t xml:space="preserve">（</w:t>
      </w:r>
      <w:r>
        <w:rPr>
          <w:rStyle w:val="VerbatimChar"/>
          <w:rFonts w:ascii="Times New Roman" w:hAnsi="Times New Roman" w:cs="Times New Roman" w:eastAsia="宋体"/>
          <w:color w:val="000000"/>
          <w:sz w:val="24"/>
        </w:rPr>
        <w:t xml:space="preserve">ZaoFHcbRM9g$_$9</w:t>
      </w:r>
      <w:r>
        <w:rPr>
          <w:rFonts w:hint="eastAsia" w:ascii="Times New Roman" w:hAnsi="Times New Roman" w:cs="Times New Roman" w:eastAsia="宋体"/>
          <w:color w:val="000000"/>
          <w:sz w:val="24"/>
        </w:rPr>
        <w:t xml:space="preserve">，真实负向，预测中性，</w:t>
      </w:r>
      <m:oMath>
        <m:r>
          <m:t>p</m:t>
        </m:r>
        <m:r>
          <m:rPr>
            <m:sty m:val="p"/>
          </m:rPr>
          <m:t>=</m:t>
        </m:r>
        <m:r>
          <m:t>0.3432</m:t>
        </m:r>
      </m:oMath>
      <w:r>
        <w:rPr>
          <w:rFonts w:hint="eastAsia" w:ascii="Times New Roman" w:hAnsi="Times New Roman" w:cs="Times New Roman" w:eastAsia="宋体"/>
          <w:color w:val="000000"/>
          <w:sz w:val="24"/>
        </w:rPr>
        <w:t xml:space="preserve">）。三类概率为0.3388/0.3432/0.3180，近乎均等，且为误判样本。文本贡献为−0.0681，即文本抑制了中性判断，其中</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less（−0.0489）与</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felt（−0.0192）为主要抑制证据，原句“i</w:t>
      </w:r>
      <w:r>
        <w:rPr>
          <w:rFonts w:ascii="Times New Roman" w:hAnsi="Times New Roman" w:cs="Times New Roman" w:eastAsia="宋体"/>
          <w:color w:val="000000"/>
          <w:sz w:val="24"/>
        </w:rPr>
        <w:t xml:space="preserve"> felt less than a </w:t>
      </w:r>
      <w:r>
        <w:rPr>
          <w:rFonts w:hint="eastAsia" w:ascii="Times New Roman" w:hAnsi="Times New Roman" w:cs="Times New Roman" w:eastAsia="宋体"/>
          <w:color w:val="000000"/>
          <w:sz w:val="24"/>
        </w:rPr>
        <w:t xml:space="preserve">woman”本身带有明显的消极倾向。音频贡献为+0.1589，成为主要模态。当文本证据方向与预测相悖时，幅度较弱的音频信号即可能将边界样本推向错误类别，此类样本的类别结论不宜作为解释依据。</w:t>
      </w:r>
    </w:p>
    <w:p>
      <w:pPr>
        <w:pStyle w:val="BodyText"/>
        <w:spacing w:before="0" w:after="0" w:line="360" w:lineRule="auto"/>
        <w:ind w:firstLine="480"/>
        <w:jc w:val="both"/>
      </w:pPr>
      <w:r>
        <w:rPr>
          <w:rFonts w:hint="eastAsia" w:ascii="Times New Roman" w:hAnsi="Times New Roman" w:cs="Times New Roman" w:eastAsia="宋体"/>
          <w:b/>
          <w:bCs/>
          <w:color w:val="000000"/>
          <w:sz w:val="24"/>
        </w:rPr>
        <w:t xml:space="preserve">音频主导样本</w:t>
      </w:r>
      <w:r>
        <w:rPr>
          <w:rFonts w:hint="eastAsia" w:ascii="Times New Roman" w:hAnsi="Times New Roman" w:cs="Times New Roman" w:eastAsia="宋体"/>
          <w:color w:val="000000"/>
          <w:sz w:val="24"/>
        </w:rPr>
        <w:t xml:space="preserve">（</w:t>
      </w:r>
      <w:r>
        <w:rPr>
          <w:rStyle w:val="VerbatimChar"/>
          <w:rFonts w:ascii="Times New Roman" w:hAnsi="Times New Roman" w:cs="Times New Roman" w:eastAsia="宋体"/>
          <w:color w:val="000000"/>
          <w:sz w:val="24"/>
        </w:rPr>
        <w:t xml:space="preserve">101787$_$11</w:t>
      </w:r>
      <w:r>
        <w:rPr>
          <w:rFonts w:hint="eastAsia" w:ascii="Times New Roman" w:hAnsi="Times New Roman" w:cs="Times New Roman" w:eastAsia="宋体"/>
          <w:color w:val="000000"/>
          <w:sz w:val="24"/>
        </w:rPr>
        <w:t xml:space="preserve">，真实中性，预测中性，</w:t>
      </w:r>
      <m:oMath>
        <m:r>
          <m:t>p</m:t>
        </m:r>
        <m:r>
          <m:rPr>
            <m:sty m:val="p"/>
          </m:rPr>
          <m:t>=</m:t>
        </m:r>
        <m:r>
          <m:t>0.4875</m:t>
        </m:r>
      </m:oMath>
      <w:r>
        <w:rPr>
          <w:rFonts w:hint="eastAsia" w:ascii="Times New Roman" w:hAnsi="Times New Roman" w:cs="Times New Roman" w:eastAsia="宋体"/>
          <w:color w:val="000000"/>
          <w:sz w:val="24"/>
        </w:rPr>
        <w:t xml:space="preserve">）。音频贡献+0.0805，略高于文本（+0.0641）与视觉（+0.0386），三者处于同一量级。音频与视觉Top-5窗口的</w:t>
      </w:r>
      <w:r>
        <w:rPr>
          <w:rFonts w:ascii="Times New Roman" w:hAnsi="Times New Roman" w:cs="Times New Roman" w:eastAsia="宋体"/>
          <w:color w:val="000000"/>
          <w:sz w:val="24"/>
        </w:rPr>
        <w:t xml:space="preserve"> </w:t>
      </w:r>
      <m:oMath>
        <m:d>
          <m:dPr>
            <m:begChr m:val="|"/>
            <m:sepChr m:val=""/>
            <m:endChr m:val="|"/>
            <m:grow/>
          </m:dPr>
          <m:e>
            <m:sSup>
              <m:e>
                <m:r>
                  <m:rPr>
                    <m:sty m:val="p"/>
                  </m:rPr>
                  <m:t>Δ</m:t>
                </m:r>
              </m:e>
              <m:sup>
                <m:r>
                  <m:rPr>
                    <m:sty m:val="p"/>
                  </m:rPr>
                  <m:t>c</m:t>
                </m:r>
                <m:r>
                  <m:rPr>
                    <m:sty m:val="p"/>
                  </m:rPr>
                  <m:t>l</m:t>
                </m:r>
                <m:r>
                  <m:rPr>
                    <m:sty m:val="p"/>
                  </m:rPr>
                  <m:t>s</m:t>
                </m:r>
              </m:sup>
            </m:sSup>
          </m:e>
        </m:d>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均不超过0.0055，且以抑制方向为主或幅度极小。此处“音频主导”仅表示音频的边际贡献相对最大，并不意味着音频独立提供了判别信息。</w:t>
      </w:r>
    </w:p>
    <w:bookmarkEnd w:id="30"/>
    <w:bookmarkStart w:id="37" w:name="三模态贡献差异分析"/>
    <w:p>
      <w:pPr>
        <w:pStyle w:val="Heading3"/>
      </w:pPr>
      <w:r>
        <w:rPr>
          <w:rFonts w:ascii="Times New Roman" w:hAnsi="Times New Roman" w:cs="Times New Roman" w:eastAsia="黑体"/>
          <w:b/>
          <w:color w:val="000000"/>
          <w:sz w:val="24"/>
        </w:rPr>
        <w:t xml:space="preserve">7.2.5 </w:t>
      </w:r>
      <w:r>
        <w:rPr>
          <w:rFonts w:hint="eastAsia" w:ascii="Times New Roman" w:hAnsi="Times New Roman" w:cs="Times New Roman" w:eastAsia="黑体"/>
          <w:b/>
          <w:color w:val="000000"/>
          <w:sz w:val="24"/>
        </w:rPr>
        <w:t xml:space="preserve">三模态贡献差异分析</w:t>
      </w:r>
    </w:p>
    <w:p>
      <w:pPr>
        <w:pStyle w:val="FirstParagraph"/>
        <w:spacing w:before="0" w:after="0" w:line="360" w:lineRule="auto"/>
        <w:ind w:firstLine="480"/>
        <w:jc w:val="both"/>
      </w:pPr>
      <w:r>
        <w:rPr>
          <w:rFonts w:hint="eastAsia" w:ascii="Times New Roman" w:hAnsi="Times New Roman" w:cs="Times New Roman" w:eastAsia="宋体"/>
          <w:color w:val="000000"/>
          <w:sz w:val="24"/>
        </w:rPr>
        <w:t xml:space="preserve">验证集728条样本的三模态贡献统计见表7-4与图7-5，主要贡献模态分布见图7-6。</w:t>
      </w:r>
    </w:p>
    <w:p>
      <w:pPr>
        <w:pStyle w:val="BodyText"/>
        <w:keepNext/>
        <w:spacing w:before="120" w:after="60" w:line="300" w:lineRule="auto"/>
        <w:ind w:firstLine="0"/>
        <w:jc w:val="center"/>
      </w:pPr>
      <w:r>
        <w:rPr>
          <w:rFonts w:hint="eastAsia" w:ascii="Times New Roman" w:hAnsi="Times New Roman" w:cs="Times New Roman" w:eastAsia="黑体"/>
          <w:b/>
          <w:bCs/>
          <w:color w:val="000000"/>
          <w:sz w:val="21"/>
        </w:rPr>
        <w:t xml:space="preserve">表7-4</w:t>
      </w:r>
      <w:r>
        <w:rPr>
          <w:rFonts w:ascii="Times New Roman" w:hAnsi="Times New Roman" w:cs="Times New Roman" w:eastAsia="黑体"/>
          <w:b/>
          <w:bCs/>
          <w:color w:val="000000"/>
          <w:sz w:val="21"/>
        </w:rPr>
        <w:t xml:space="preserve"> </w:t>
      </w:r>
      <w:r>
        <w:rPr>
          <w:rFonts w:hint="eastAsia" w:ascii="Times New Roman" w:hAnsi="Times New Roman" w:cs="Times New Roman" w:eastAsia="黑体"/>
          <w:b/>
          <w:bCs/>
          <w:color w:val="000000"/>
          <w:sz w:val="21"/>
        </w:rPr>
        <w:t xml:space="preserve">验证集三模态贡献统计</w:t>
      </w:r>
    </w:p>
    <w:tbl>
      <w:tblPr>
        <w:tblStyle w:val="Table"/>
        <w:tblW w:type="dxa" w:w="9072"/>
        <w:jc w:val="center"/>
        <w:tblLayout w:type="fixed"/>
        <w:tblLook w:firstRow="1" w:lastRow="0" w:firstColumn="0" w:lastColumn="0" w:noHBand="0" w:noVBand="0" w:val="002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CellMar>
          <w:left w:w="57" w:type="dxa"/>
          <w:right w:w="57" w:type="dxa"/>
        </w:tblCellMar>
      </w:tblPr>
      <w:tblGrid>
        <w:gridCol w:w="683"/>
        <w:gridCol w:w="907"/>
        <w:gridCol w:w="907"/>
        <w:gridCol w:w="1018"/>
        <w:gridCol w:w="907"/>
        <w:gridCol w:w="907"/>
        <w:gridCol w:w="907"/>
        <w:gridCol w:w="907"/>
        <w:gridCol w:w="907"/>
        <w:gridCol w:w="1018"/>
      </w:tblGrid>
      <w:tr>
        <w:trPr>
          <w:tblHeader w:val="on"/>
          <w:tblHeader w:val="true"/>
        </w:trPr>
        <w:tc>
          <w:tcPr>
            <w:tcW w:type="dxa" w:w="684"/>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模态</w:t>
            </w:r>
          </w:p>
        </w:tc>
        <w:tc>
          <w:tcPr>
            <w:tcW w:type="dxa" w:w="907"/>
            <w:tcBorders>
              <w:bottom w:val="single" w:sz="6" w:space="0" w:color="000000"/>
            </w:tcBorders>
            <w:vAlign w:val="center"/>
          </w:tcPr>
          <w:p>
            <w:pPr>
              <w:pStyle w:val="Compact"/>
              <w:spacing w:before="30" w:after="30" w:line="240" w:lineRule="auto"/>
              <w:ind w:firstLine="0"/>
              <w:jc w:val="center"/>
            </w:pPr>
            <m:oMath>
              <m:sSup>
                <m:e>
                  <m:r>
                    <m:rPr>
                      <m:sty m:val="p"/>
                    </m:rPr>
                    <m:t>Δ</m:t>
                  </m:r>
                </m:e>
                <m:sup>
                  <m:r>
                    <m:rPr>
                      <m:sty m:val="p"/>
                    </m:rPr>
                    <m:t>c</m:t>
                  </m:r>
                  <m:r>
                    <m:rPr>
                      <m:sty m:val="p"/>
                    </m:rPr>
                    <m:t>l</m:t>
                  </m:r>
                  <m:r>
                    <m:rPr>
                      <m:sty m:val="p"/>
                    </m:rPr>
                    <m:t>s</m:t>
                  </m:r>
                </m:sup>
              </m:sSup>
            </m:oMath>
            <w:r>
              <w:rPr>
                <w:rFonts w:ascii="Times New Roman" w:hAnsi="Times New Roman" w:cs="Times New Roman" w:eastAsia="宋体"/>
                <w:b/>
                <w:color w:val="000000"/>
                <w:sz w:val="18"/>
              </w:rPr>
              <w:t xml:space="preserve"> </w:t>
            </w:r>
            <w:r>
              <w:rPr>
                <w:rFonts w:hint="eastAsia" w:ascii="Times New Roman" w:hAnsi="Times New Roman" w:cs="Times New Roman" w:eastAsia="宋体"/>
                <w:b/>
                <w:color w:val="000000"/>
                <w:sz w:val="18"/>
              </w:rPr>
              <w:t xml:space="preserve">均值</w:t>
            </w:r>
          </w:p>
        </w:tc>
        <w:tc>
          <w:tcPr>
            <w:tcW w:type="dxa" w:w="907"/>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标准差</w:t>
            </w:r>
          </w:p>
        </w:tc>
        <w:tc>
          <w:tcPr>
            <w:tcW w:type="dxa" w:w="1019"/>
            <w:tcBorders>
              <w:bottom w:val="single" w:sz="6" w:space="0" w:color="000000"/>
            </w:tcBorders>
            <w:vAlign w:val="center"/>
          </w:tcPr>
          <w:p>
            <w:pPr>
              <w:pStyle w:val="Compact"/>
              <w:spacing w:before="30" w:after="30" w:line="240" w:lineRule="auto"/>
              <w:ind w:firstLine="0"/>
              <w:jc w:val="center"/>
            </w:pPr>
            <w:r>
              <w:rPr>
                <w:rFonts w:ascii="Times New Roman" w:hAnsi="Times New Roman" w:cs="Times New Roman" w:eastAsia="宋体"/>
                <w:b/>
                <w:color w:val="000000"/>
                <w:sz w:val="18"/>
              </w:rPr>
              <w:t xml:space="preserve">q10</w:t>
            </w:r>
          </w:p>
        </w:tc>
        <w:tc>
          <w:tcPr>
            <w:tcW w:type="dxa" w:w="907"/>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中位数</w:t>
            </w:r>
          </w:p>
        </w:tc>
        <w:tc>
          <w:tcPr>
            <w:tcW w:type="dxa" w:w="907"/>
            <w:tcBorders>
              <w:bottom w:val="single" w:sz="6" w:space="0" w:color="000000"/>
            </w:tcBorders>
            <w:vAlign w:val="center"/>
          </w:tcPr>
          <w:p>
            <w:pPr>
              <w:pStyle w:val="Compact"/>
              <w:spacing w:before="30" w:after="30" w:line="240" w:lineRule="auto"/>
              <w:ind w:firstLine="0"/>
              <w:jc w:val="center"/>
            </w:pPr>
            <w:r>
              <w:rPr>
                <w:rFonts w:ascii="Times New Roman" w:hAnsi="Times New Roman" w:cs="Times New Roman" w:eastAsia="宋体"/>
                <w:b/>
                <w:color w:val="000000"/>
                <w:sz w:val="18"/>
              </w:rPr>
              <w:t xml:space="preserve">q90</w:t>
            </w:r>
          </w:p>
        </w:tc>
        <w:tc>
          <w:tcPr>
            <w:tcW w:type="dxa" w:w="907"/>
            <w:tcBorders>
              <w:bottom w:val="single" w:sz="6" w:space="0" w:color="000000"/>
            </w:tcBorders>
            <w:vAlign w:val="center"/>
          </w:tcPr>
          <w:p>
            <w:pPr>
              <w:pStyle w:val="Compact"/>
              <w:spacing w:before="30" w:after="30" w:line="240" w:lineRule="auto"/>
              <w:ind w:firstLine="0"/>
              <w:jc w:val="center"/>
            </w:pPr>
            <m:oMath>
              <m:sSup>
                <m:e>
                  <m:r>
                    <m:rPr>
                      <m:sty m:val="p"/>
                    </m:rPr>
                    <m:t>Δ</m:t>
                  </m:r>
                </m:e>
                <m:sup>
                  <m:r>
                    <m:rPr>
                      <m:sty m:val="p"/>
                    </m:rPr>
                    <m:t>c</m:t>
                  </m:r>
                  <m:r>
                    <m:rPr>
                      <m:sty m:val="p"/>
                    </m:rPr>
                    <m:t>l</m:t>
                  </m:r>
                  <m:r>
                    <m:rPr>
                      <m:sty m:val="p"/>
                    </m:rPr>
                    <m:t>s</m:t>
                  </m:r>
                </m:sup>
              </m:sSup>
              <m:r>
                <m:rPr>
                  <m:sty m:val="p"/>
                </m:rPr>
                <m:t>&gt;</m:t>
              </m:r>
              <m:r>
                <m:t>0</m:t>
              </m:r>
            </m:oMath>
            <w:r>
              <w:rPr>
                <w:rFonts w:ascii="Times New Roman" w:hAnsi="Times New Roman" w:cs="Times New Roman" w:eastAsia="宋体"/>
                <w:b/>
                <w:color w:val="000000"/>
                <w:sz w:val="18"/>
              </w:rPr>
              <w:t xml:space="preserve"> </w:t>
            </w:r>
            <w:r>
              <w:rPr>
                <w:rFonts w:hint="eastAsia" w:ascii="Times New Roman" w:hAnsi="Times New Roman" w:cs="Times New Roman" w:eastAsia="宋体"/>
                <w:b/>
                <w:color w:val="000000"/>
                <w:sz w:val="18"/>
              </w:rPr>
              <w:t xml:space="preserve">比例</w:t>
            </w:r>
          </w:p>
        </w:tc>
        <w:tc>
          <w:tcPr>
            <w:tcW w:type="dxa" w:w="907"/>
            <w:tcBorders>
              <w:bottom w:val="single" w:sz="6" w:space="0" w:color="000000"/>
            </w:tcBorders>
            <w:vAlign w:val="center"/>
          </w:tcPr>
          <w:p>
            <w:pPr>
              <w:pStyle w:val="Compact"/>
              <w:spacing w:before="30" w:after="30" w:line="240" w:lineRule="auto"/>
              <w:ind w:firstLine="0"/>
              <w:jc w:val="center"/>
            </w:pPr>
            <m:oMath>
              <m:sSup>
                <m:e>
                  <m:r>
                    <m:rPr>
                      <m:sty m:val="p"/>
                    </m:rPr>
                    <m:t>Δ</m:t>
                  </m:r>
                </m:e>
                <m:sup>
                  <m:r>
                    <m:rPr>
                      <m:sty m:val="p"/>
                    </m:rPr>
                    <m:t>i</m:t>
                  </m:r>
                  <m:r>
                    <m:rPr>
                      <m:sty m:val="p"/>
                    </m:rPr>
                    <m:t>n</m:t>
                  </m:r>
                  <m:r>
                    <m:rPr>
                      <m:sty m:val="p"/>
                    </m:rPr>
                    <m:t>t</m:t>
                  </m:r>
                </m:sup>
              </m:sSup>
            </m:oMath>
            <w:r>
              <w:rPr>
                <w:rFonts w:ascii="Times New Roman" w:hAnsi="Times New Roman" w:cs="Times New Roman" w:eastAsia="宋体"/>
                <w:b/>
                <w:color w:val="000000"/>
                <w:sz w:val="18"/>
              </w:rPr>
              <w:t xml:space="preserve"> </w:t>
            </w:r>
            <w:r>
              <w:rPr>
                <w:rFonts w:hint="eastAsia" w:ascii="Times New Roman" w:hAnsi="Times New Roman" w:cs="Times New Roman" w:eastAsia="宋体"/>
                <w:b/>
                <w:color w:val="000000"/>
                <w:sz w:val="18"/>
              </w:rPr>
              <w:t xml:space="preserve">均值</w:t>
            </w:r>
          </w:p>
        </w:tc>
        <w:tc>
          <w:tcPr>
            <w:tcW w:type="dxa" w:w="907"/>
            <w:tcBorders>
              <w:bottom w:val="single" w:sz="6" w:space="0" w:color="000000"/>
            </w:tcBorders>
            <w:vAlign w:val="center"/>
          </w:tcPr>
          <w:p>
            <w:pPr>
              <w:pStyle w:val="Compact"/>
              <w:spacing w:before="30" w:after="30" w:line="240" w:lineRule="auto"/>
              <w:ind w:firstLine="0"/>
              <w:jc w:val="center"/>
            </w:pPr>
            <m:oMath>
              <m:sSup>
                <m:e>
                  <m:r>
                    <m:rPr>
                      <m:sty m:val="p"/>
                    </m:rPr>
                    <m:t>Δ</m:t>
                  </m:r>
                </m:e>
                <m:sup>
                  <m:r>
                    <m:rPr>
                      <m:sty m:val="p"/>
                    </m:rPr>
                    <m:t>i</m:t>
                  </m:r>
                  <m:r>
                    <m:rPr>
                      <m:sty m:val="p"/>
                    </m:rPr>
                    <m:t>n</m:t>
                  </m:r>
                  <m:r>
                    <m:rPr>
                      <m:sty m:val="p"/>
                    </m:rPr>
                    <m:t>t</m:t>
                  </m:r>
                </m:sup>
              </m:sSup>
              <m:r>
                <m:rPr>
                  <m:sty m:val="p"/>
                </m:rPr>
                <m:t>&gt;</m:t>
              </m:r>
              <m:r>
                <m:t>0</m:t>
              </m:r>
            </m:oMath>
            <w:r>
              <w:rPr>
                <w:rFonts w:ascii="Times New Roman" w:hAnsi="Times New Roman" w:cs="Times New Roman" w:eastAsia="宋体"/>
                <w:b/>
                <w:color w:val="000000"/>
                <w:sz w:val="18"/>
              </w:rPr>
              <w:t xml:space="preserve"> </w:t>
            </w:r>
            <w:r>
              <w:rPr>
                <w:rFonts w:hint="eastAsia" w:ascii="Times New Roman" w:hAnsi="Times New Roman" w:cs="Times New Roman" w:eastAsia="宋体"/>
                <w:b/>
                <w:color w:val="000000"/>
                <w:sz w:val="18"/>
              </w:rPr>
              <w:t xml:space="preserve">比例</w:t>
            </w:r>
          </w:p>
        </w:tc>
        <w:tc>
          <w:tcPr>
            <w:tcW w:type="dxa" w:w="1019"/>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主要模态样本数</w:t>
            </w:r>
          </w:p>
        </w:tc>
      </w:tr>
      <w:tr>
        <w:tc>
          <w:tcPr>
            <w:tcW w:type="dxa" w:w="684"/>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文本</w:t>
            </w:r>
          </w:p>
        </w:tc>
        <w:tc>
          <w:tcPr>
            <w:tcW w:type="dxa" w:w="90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0.3002</w:t>
            </w:r>
          </w:p>
        </w:tc>
        <w:tc>
          <w:tcPr>
            <w:tcW w:type="dxa" w:w="90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0.2044</w:t>
            </w:r>
          </w:p>
        </w:tc>
        <w:tc>
          <w:tcPr>
            <w:tcW w:type="dxa" w:w="1019"/>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0.0395</w:t>
            </w:r>
          </w:p>
        </w:tc>
        <w:tc>
          <w:tcPr>
            <w:tcW w:type="dxa" w:w="90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0.2868</w:t>
            </w:r>
          </w:p>
        </w:tc>
        <w:tc>
          <w:tcPr>
            <w:tcW w:type="dxa" w:w="90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0.5952</w:t>
            </w:r>
          </w:p>
        </w:tc>
        <w:tc>
          <w:tcPr>
            <w:tcW w:type="dxa" w:w="90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94.64%</w:t>
            </w:r>
          </w:p>
        </w:tc>
        <w:tc>
          <w:tcPr>
            <w:tcW w:type="dxa" w:w="90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0.4598</w:t>
            </w:r>
          </w:p>
        </w:tc>
        <w:tc>
          <w:tcPr>
            <w:tcW w:type="dxa" w:w="90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92.31%</w:t>
            </w:r>
          </w:p>
        </w:tc>
        <w:tc>
          <w:tcPr>
            <w:tcW w:type="dxa" w:w="1019"/>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597</w:t>
            </w:r>
          </w:p>
        </w:tc>
      </w:tr>
      <w:tr>
        <w:tc>
          <w:tcPr>
            <w:tcW w:type="dxa" w:w="684"/>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音频</w:t>
            </w:r>
          </w:p>
        </w:tc>
        <w:tc>
          <w:tcPr>
            <w:tcW w:type="dxa" w:w="90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0.0136</w:t>
            </w:r>
          </w:p>
        </w:tc>
        <w:tc>
          <w:tcPr>
            <w:tcW w:type="dxa" w:w="90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0.0741</w:t>
            </w:r>
          </w:p>
        </w:tc>
        <w:tc>
          <w:tcPr>
            <w:tcW w:type="dxa" w:w="1019"/>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−0.0744</w:t>
            </w:r>
          </w:p>
        </w:tc>
        <w:tc>
          <w:tcPr>
            <w:tcW w:type="dxa" w:w="90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0.0122</w:t>
            </w:r>
          </w:p>
        </w:tc>
        <w:tc>
          <w:tcPr>
            <w:tcW w:type="dxa" w:w="90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0.1009</w:t>
            </w:r>
          </w:p>
        </w:tc>
        <w:tc>
          <w:tcPr>
            <w:tcW w:type="dxa" w:w="90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60.99%</w:t>
            </w:r>
          </w:p>
        </w:tc>
        <w:tc>
          <w:tcPr>
            <w:tcW w:type="dxa" w:w="90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0.0677</w:t>
            </w:r>
          </w:p>
        </w:tc>
        <w:tc>
          <w:tcPr>
            <w:tcW w:type="dxa" w:w="90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66.21%</w:t>
            </w:r>
          </w:p>
        </w:tc>
        <w:tc>
          <w:tcPr>
            <w:tcW w:type="dxa" w:w="1019"/>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80</w:t>
            </w:r>
          </w:p>
        </w:tc>
      </w:tr>
      <w:tr>
        <w:tc>
          <w:tcPr>
            <w:tcW w:type="dxa" w:w="684"/>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视觉</w:t>
            </w:r>
          </w:p>
        </w:tc>
        <w:tc>
          <w:tcPr>
            <w:tcW w:type="dxa" w:w="90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0.0170</w:t>
            </w:r>
          </w:p>
        </w:tc>
        <w:tc>
          <w:tcPr>
            <w:tcW w:type="dxa" w:w="90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0.0641</w:t>
            </w:r>
          </w:p>
        </w:tc>
        <w:tc>
          <w:tcPr>
            <w:tcW w:type="dxa" w:w="1019"/>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−0.0657</w:t>
            </w:r>
          </w:p>
        </w:tc>
        <w:tc>
          <w:tcPr>
            <w:tcW w:type="dxa" w:w="90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0.0150</w:t>
            </w:r>
          </w:p>
        </w:tc>
        <w:tc>
          <w:tcPr>
            <w:tcW w:type="dxa" w:w="90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0.0893</w:t>
            </w:r>
          </w:p>
        </w:tc>
        <w:tc>
          <w:tcPr>
            <w:tcW w:type="dxa" w:w="90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64.84%</w:t>
            </w:r>
          </w:p>
        </w:tc>
        <w:tc>
          <w:tcPr>
            <w:tcW w:type="dxa" w:w="90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0.0504</w:t>
            </w:r>
          </w:p>
        </w:tc>
        <w:tc>
          <w:tcPr>
            <w:tcW w:type="dxa" w:w="907"/>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60.85%</w:t>
            </w:r>
          </w:p>
        </w:tc>
        <w:tc>
          <w:tcPr>
            <w:tcW w:type="dxa" w:w="1019"/>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51</w:t>
            </w:r>
          </w:p>
        </w:tc>
      </w:tr>
    </w:tbl>
    <w:p>
      <w:pPr>
        <w:pStyle w:val="BodyText"/>
        <w:spacing w:before="0" w:after="120" w:line="300" w:lineRule="auto"/>
        <w:ind w:firstLine="0"/>
      </w:pPr>
      <w:r>
        <w:rPr>
          <w:rFonts w:hint="eastAsia" w:ascii="Times New Roman" w:hAnsi="Times New Roman" w:cs="Times New Roman" w:eastAsia="宋体"/>
          <w:color w:val="000000"/>
          <w:sz w:val="21"/>
        </w:rPr>
        <w:t xml:space="preserve">注：标准差为总体标准差。</w:t>
      </w:r>
    </w:p>
    <w:p>
      <w:pPr>
        <w:pStyle w:val="BodyText"/>
        <w:keepNext/>
        <w:spacing w:before="120" w:after="0" w:line="240" w:lineRule="auto"/>
        <w:ind w:firstLine="0"/>
        <w:jc w:val="center"/>
      </w:pPr>
      <w:r>
        <w:drawing>
          <wp:inline>
            <wp:extent cx="5334000" cy="2435849"/>
            <wp:effectExtent b="0" l="0" r="0" t="0"/>
            <wp:docPr descr="" title="" id="32" name="Picture"/>
            <a:graphic>
              <a:graphicData uri="http://schemas.openxmlformats.org/drawingml/2006/picture">
                <pic:pic>
                  <pic:nvPicPr>
                    <pic:cNvPr descr="figures/图7-5_验证集文本音频和视觉贡献分布.png" id="33" name="Picture"/>
                    <pic:cNvPicPr>
                      <a:picLocks noChangeArrowheads="1" noChangeAspect="1"/>
                    </pic:cNvPicPr>
                  </pic:nvPicPr>
                  <pic:blipFill>
                    <a:blip r:embed="rId31"/>
                    <a:stretch>
                      <a:fillRect/>
                    </a:stretch>
                  </pic:blipFill>
                  <pic:spPr bwMode="auto">
                    <a:xfrm>
                      <a:off x="0" y="0"/>
                      <a:ext cx="5334000" cy="2435849"/>
                    </a:xfrm>
                    <a:prstGeom prst="rect">
                      <a:avLst/>
                    </a:prstGeom>
                    <a:noFill/>
                    <a:ln w="9525">
                      <a:noFill/>
                      <a:headEnd/>
                      <a:tailEnd/>
                    </a:ln>
                  </pic:spPr>
                </pic:pic>
              </a:graphicData>
            </a:graphic>
          </wp:inline>
        </w:drawing>
      </w:r>
    </w:p>
    <w:p>
      <w:pPr>
        <w:pStyle w:val="BodyText"/>
        <w:spacing w:before="0" w:after="180" w:line="300" w:lineRule="auto"/>
        <w:ind w:firstLine="0"/>
        <w:jc w:val="center"/>
      </w:pPr>
      <w:r>
        <w:rPr>
          <w:rFonts w:hint="eastAsia" w:ascii="Times New Roman" w:hAnsi="Times New Roman" w:cs="Times New Roman" w:eastAsia="黑体"/>
          <w:b/>
          <w:bCs/>
          <w:color w:val="000000"/>
          <w:sz w:val="21"/>
        </w:rPr>
        <w:t xml:space="preserve">图7-5</w:t>
      </w:r>
      <w:r>
        <w:rPr>
          <w:rFonts w:ascii="Times New Roman" w:hAnsi="Times New Roman" w:cs="Times New Roman" w:eastAsia="黑体"/>
          <w:b/>
          <w:bCs/>
          <w:color w:val="000000"/>
          <w:sz w:val="21"/>
        </w:rPr>
        <w:t xml:space="preserve"> </w:t>
      </w:r>
      <w:r>
        <w:rPr>
          <w:rFonts w:hint="eastAsia" w:ascii="Times New Roman" w:hAnsi="Times New Roman" w:cs="Times New Roman" w:eastAsia="黑体"/>
          <w:b/>
          <w:bCs/>
          <w:color w:val="000000"/>
          <w:sz w:val="21"/>
        </w:rPr>
        <w:t xml:space="preserve">验证集文本、音频和视觉贡献分布。</w:t>
      </w:r>
      <w:r>
        <w:rPr>
          <w:rFonts w:hint="eastAsia" w:ascii="Times New Roman" w:hAnsi="Times New Roman" w:cs="Times New Roman" w:eastAsia="宋体"/>
          <w:color w:val="000000"/>
          <w:sz w:val="21"/>
        </w:rPr>
        <w:t xml:space="preserve">（a）分类贡献；（b）强度贡献。虚线为零贡献。</w:t>
      </w:r>
    </w:p>
    <w:p>
      <w:pPr>
        <w:pStyle w:val="BodyText"/>
        <w:keepNext/>
        <w:spacing w:before="120" w:after="0" w:line="240" w:lineRule="auto"/>
        <w:ind w:firstLine="0"/>
        <w:jc w:val="center"/>
      </w:pPr>
      <w:r>
        <w:drawing>
          <wp:inline>
            <wp:extent cx="5334000" cy="2478249"/>
            <wp:effectExtent b="0" l="0" r="0" t="0"/>
            <wp:docPr descr="" title="" id="35" name="Picture"/>
            <a:graphic>
              <a:graphicData uri="http://schemas.openxmlformats.org/drawingml/2006/picture">
                <pic:pic>
                  <pic:nvPicPr>
                    <pic:cNvPr descr="figures/图7-6_验证集主要贡献模态数量分布.png" id="36" name="Picture"/>
                    <pic:cNvPicPr>
                      <a:picLocks noChangeArrowheads="1" noChangeAspect="1"/>
                    </pic:cNvPicPr>
                  </pic:nvPicPr>
                  <pic:blipFill>
                    <a:blip r:embed="rId34"/>
                    <a:stretch>
                      <a:fillRect/>
                    </a:stretch>
                  </pic:blipFill>
                  <pic:spPr bwMode="auto">
                    <a:xfrm>
                      <a:off x="0" y="0"/>
                      <a:ext cx="5334000" cy="2478249"/>
                    </a:xfrm>
                    <a:prstGeom prst="rect">
                      <a:avLst/>
                    </a:prstGeom>
                    <a:noFill/>
                    <a:ln w="9525">
                      <a:noFill/>
                      <a:headEnd/>
                      <a:tailEnd/>
                    </a:ln>
                  </pic:spPr>
                </pic:pic>
              </a:graphicData>
            </a:graphic>
          </wp:inline>
        </w:drawing>
      </w:r>
    </w:p>
    <w:p>
      <w:pPr>
        <w:pStyle w:val="BodyText"/>
        <w:spacing w:before="0" w:after="180" w:line="300" w:lineRule="auto"/>
        <w:ind w:firstLine="0"/>
        <w:jc w:val="center"/>
      </w:pPr>
      <w:r>
        <w:rPr>
          <w:rFonts w:hint="eastAsia" w:ascii="Times New Roman" w:hAnsi="Times New Roman" w:cs="Times New Roman" w:eastAsia="黑体"/>
          <w:b/>
          <w:bCs/>
          <w:color w:val="000000"/>
          <w:sz w:val="21"/>
        </w:rPr>
        <w:t xml:space="preserve">图7-6</w:t>
      </w:r>
      <w:r>
        <w:rPr>
          <w:rFonts w:ascii="Times New Roman" w:hAnsi="Times New Roman" w:cs="Times New Roman" w:eastAsia="黑体"/>
          <w:b/>
          <w:bCs/>
          <w:color w:val="000000"/>
          <w:sz w:val="21"/>
        </w:rPr>
        <w:t xml:space="preserve"> </w:t>
      </w:r>
      <w:r>
        <w:rPr>
          <w:rFonts w:hint="eastAsia" w:ascii="Times New Roman" w:hAnsi="Times New Roman" w:cs="Times New Roman" w:eastAsia="黑体"/>
          <w:b/>
          <w:bCs/>
          <w:color w:val="000000"/>
          <w:sz w:val="21"/>
        </w:rPr>
        <w:t xml:space="preserve">验证集主要贡献模态数量分布。</w:t>
      </w:r>
      <w:r>
        <w:rPr>
          <w:rFonts w:hint="eastAsia" w:ascii="Times New Roman" w:hAnsi="Times New Roman" w:cs="Times New Roman" w:eastAsia="宋体"/>
          <w:color w:val="000000"/>
          <w:sz w:val="21"/>
        </w:rPr>
        <w:t xml:space="preserve">（a）按式(7-4)确定的主要贡献模态样本数；（b）各组的预测类别概率均值、准确率和文本分类贡献均值。</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就贡献量级而言，文本分类贡献均值为0.3002，约为音频（0.0136）的22倍、视觉（0.0170）的18倍；按式(7-2)计算的强度贡献中，文本为0.4598，音频与视觉分别为0.0677与0.0504。这一结果与第六章的单模态基线（单文本0.6264，单音频0.4666，单视觉0.4670）及消融实验（移除文本后降至0.4620）相互印证，两类独立证据均指向文本为模型的主要判别来源。</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就贡献方向而言，文本贡献为正的样本占94.64%，其10%分位数仍为正值（0.0395）；音频与视觉的分布均跨越零点，10%分位数分别为−0.0744与−0.0657，约35%～39%的样本在移除音频或视觉后，模型对当前类别的置信度反而上升。位置级证据呈现相同特征：在10,419条关键证据中，文本证据的抑制比例为40.9%，音频与视觉分别为47.4%与47.1%，接近半数，说明后两种模态的局部证据方向缺乏一致性。</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就主要模态分布而言，728条样本中文本主导597条（82.0%），音频主导80条（11.0%），视觉主导51条（7.0%）。结合图7-6(b)与表7-2，音频与视觉主导样本的平均置信度仅为0.4654与0.5143，文本贡献均值仅为0.0277与0.0346。因此，这131条样本（18.0%）应理解为文本边际贡献微弱、三模态贡献普遍偏低的样本，而非由音频或视觉作出有效判别的样本。第六章整条模态缺失实验亦支持这一判断：整条移除音频时验证集准确率为0.6273，移除视觉时为0.6204（表6-3），变化均不足1个百分点，与本节0.01～0.02量级的音视频贡献相符。</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此外，局部片段的贡献幅度远小于模态级贡献：关键证据的</w:t>
      </w:r>
      <w:r>
        <w:rPr>
          <w:rFonts w:ascii="Times New Roman" w:hAnsi="Times New Roman" w:cs="Times New Roman" w:eastAsia="宋体"/>
          <w:color w:val="000000"/>
          <w:sz w:val="24"/>
        </w:rPr>
        <w:t xml:space="preserve"> </w:t>
      </w:r>
      <m:oMath>
        <m:d>
          <m:dPr>
            <m:begChr m:val="|"/>
            <m:sepChr m:val=""/>
            <m:endChr m:val="|"/>
            <m:grow/>
          </m:dPr>
          <m:e>
            <m:sSup>
              <m:e>
                <m:r>
                  <m:rPr>
                    <m:sty m:val="p"/>
                  </m:rPr>
                  <m:t>Δ</m:t>
                </m:r>
              </m:e>
              <m:sup>
                <m:r>
                  <m:rPr>
                    <m:sty m:val="p"/>
                  </m:rPr>
                  <m:t>c</m:t>
                </m:r>
                <m:r>
                  <m:rPr>
                    <m:sty m:val="p"/>
                  </m:rPr>
                  <m:t>l</m:t>
                </m:r>
                <m:r>
                  <m:rPr>
                    <m:sty m:val="p"/>
                  </m:rPr>
                  <m:t>s</m:t>
                </m:r>
              </m:sup>
            </m:sSup>
          </m:e>
        </m:d>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均值为0.0145，最大值为0.2613，而文本模态级贡献均值为0.3002。局部片段贡献的大小不能用于推断模态整体的重要性。</w:t>
      </w:r>
    </w:p>
    <w:bookmarkEnd w:id="37"/>
    <w:bookmarkStart w:id="44" w:name="附件4全量预测与解释结果"/>
    <w:p>
      <w:pPr>
        <w:pStyle w:val="Heading3"/>
      </w:pPr>
      <w:r>
        <w:rPr>
          <w:rFonts w:ascii="Times New Roman" w:hAnsi="Times New Roman" w:cs="Times New Roman" w:eastAsia="黑体"/>
          <w:b/>
          <w:color w:val="000000"/>
          <w:sz w:val="24"/>
        </w:rPr>
        <w:t xml:space="preserve">7.2.6 </w:t>
      </w:r>
      <w:r>
        <w:rPr>
          <w:rFonts w:hint="eastAsia" w:ascii="Times New Roman" w:hAnsi="Times New Roman" w:cs="Times New Roman" w:eastAsia="黑体"/>
          <w:b/>
          <w:color w:val="000000"/>
          <w:sz w:val="24"/>
        </w:rPr>
        <w:t xml:space="preserve">附件4全量预测与解释结果</w:t>
      </w:r>
    </w:p>
    <w:p>
      <w:pPr>
        <w:pStyle w:val="FirstParagraph"/>
        <w:spacing w:before="0" w:after="0" w:line="360" w:lineRule="auto"/>
        <w:ind w:firstLine="480"/>
        <w:jc w:val="both"/>
      </w:pPr>
      <w:r>
        <w:rPr>
          <w:rFonts w:hint="eastAsia" w:ascii="Times New Roman" w:hAnsi="Times New Roman" w:cs="Times New Roman" w:eastAsia="宋体"/>
          <w:b/>
          <w:bCs/>
          <w:color w:val="000000"/>
          <w:sz w:val="24"/>
        </w:rPr>
        <w:t xml:space="preserve">（1）预测类别与置信度。</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冻结模型对附件4的20条样本执行一次推理。输入核验表明，20个样本ID唯一且与20段视频一一对应，字段形状符合冻结接口，数据中不含标签字段。预测结果为负向6条、中性1条、正向13条（图7-7(a)）。三类概率逐行之和均为1（6位小数舍入导致的最大偏差为</w:t>
      </w:r>
      <w:r>
        <w:rPr>
          <w:rFonts w:ascii="Times New Roman" w:hAnsi="Times New Roman" w:cs="Times New Roman" w:eastAsia="宋体"/>
          <w:color w:val="000000"/>
          <w:sz w:val="24"/>
        </w:rPr>
        <w:t xml:space="preserve"> </w:t>
      </w:r>
      <m:oMath>
        <m:r>
          <m:t>1</m:t>
        </m:r>
        <m:r>
          <m:rPr>
            <m:sty m:val="p"/>
          </m:rPr>
          <m:t>×</m:t>
        </m:r>
        <m:sSup>
          <m:e>
            <m:r>
              <m:t>10</m:t>
            </m:r>
          </m:e>
          <m:sup>
            <m:r>
              <m:rPr>
                <m:sty m:val="p"/>
              </m:rPr>
              <m:t>−</m:t>
            </m:r>
            <m:r>
              <m:t>6</m:t>
            </m:r>
          </m:sup>
        </m:sSup>
      </m:oMath>
      <w:r>
        <w:rPr>
          <w:rFonts w:hint="eastAsia" w:ascii="Times New Roman" w:hAnsi="Times New Roman" w:cs="Times New Roman" w:eastAsia="宋体"/>
          <w:color w:val="000000"/>
          <w:sz w:val="24"/>
        </w:rPr>
        <w:t xml:space="preserve">），预测类别均与最大后验类别一致。</w:t>
      </w:r>
    </w:p>
    <w:p>
      <w:pPr>
        <w:pStyle w:val="BodyText"/>
        <w:keepNext/>
        <w:spacing w:before="120" w:after="0" w:line="240" w:lineRule="auto"/>
        <w:ind w:firstLine="0"/>
        <w:jc w:val="center"/>
      </w:pPr>
      <w:r>
        <w:drawing>
          <wp:inline>
            <wp:extent cx="5334000" cy="2988633"/>
            <wp:effectExtent b="0" l="0" r="0" t="0"/>
            <wp:docPr descr="" title="" id="39" name="Picture"/>
            <a:graphic>
              <a:graphicData uri="http://schemas.openxmlformats.org/drawingml/2006/picture">
                <pic:pic>
                  <pic:nvPicPr>
                    <pic:cNvPr descr="figures/图7-7_附件4预测类别与置信度分布.png" id="40" name="Picture"/>
                    <pic:cNvPicPr>
                      <a:picLocks noChangeArrowheads="1" noChangeAspect="1"/>
                    </pic:cNvPicPr>
                  </pic:nvPicPr>
                  <pic:blipFill>
                    <a:blip r:embed="rId38"/>
                    <a:stretch>
                      <a:fillRect/>
                    </a:stretch>
                  </pic:blipFill>
                  <pic:spPr bwMode="auto">
                    <a:xfrm>
                      <a:off x="0" y="0"/>
                      <a:ext cx="5334000" cy="2988633"/>
                    </a:xfrm>
                    <a:prstGeom prst="rect">
                      <a:avLst/>
                    </a:prstGeom>
                    <a:noFill/>
                    <a:ln w="9525">
                      <a:noFill/>
                      <a:headEnd/>
                      <a:tailEnd/>
                    </a:ln>
                  </pic:spPr>
                </pic:pic>
              </a:graphicData>
            </a:graphic>
          </wp:inline>
        </w:drawing>
      </w:r>
    </w:p>
    <w:p>
      <w:pPr>
        <w:pStyle w:val="BodyText"/>
        <w:spacing w:before="0" w:after="180" w:line="300" w:lineRule="auto"/>
        <w:ind w:firstLine="0"/>
        <w:jc w:val="center"/>
      </w:pPr>
      <w:r>
        <w:rPr>
          <w:rFonts w:hint="eastAsia" w:ascii="Times New Roman" w:hAnsi="Times New Roman" w:cs="Times New Roman" w:eastAsia="黑体"/>
          <w:b/>
          <w:bCs/>
          <w:color w:val="000000"/>
          <w:sz w:val="21"/>
        </w:rPr>
        <w:t xml:space="preserve">图7-7</w:t>
      </w:r>
      <w:r>
        <w:rPr>
          <w:rFonts w:ascii="Times New Roman" w:hAnsi="Times New Roman" w:cs="Times New Roman" w:eastAsia="黑体"/>
          <w:b/>
          <w:bCs/>
          <w:color w:val="000000"/>
          <w:sz w:val="21"/>
        </w:rPr>
        <w:t xml:space="preserve"> </w:t>
      </w:r>
      <w:r>
        <w:rPr>
          <w:rFonts w:hint="eastAsia" w:ascii="Times New Roman" w:hAnsi="Times New Roman" w:cs="Times New Roman" w:eastAsia="黑体"/>
          <w:b/>
          <w:bCs/>
          <w:color w:val="000000"/>
          <w:sz w:val="21"/>
        </w:rPr>
        <w:t xml:space="preserve">附件4预测类别与置信度分布。</w:t>
      </w:r>
      <w:r>
        <w:rPr>
          <w:rFonts w:hint="eastAsia" w:ascii="Times New Roman" w:hAnsi="Times New Roman" w:cs="Times New Roman" w:eastAsia="宋体"/>
          <w:color w:val="000000"/>
          <w:sz w:val="21"/>
        </w:rPr>
        <w:t xml:space="preserve">（a）预测类别计数；（b）逐样本三类概率，按最大类别概率升序排列，右侧为最大概率与回看结论。图中类别均为模型预测，不是真实类别。</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最大类别概率均值为0.7207，中位数0.6915，总体标准差0.1959，取值范围0.3504～0.9970；其中6条高于0.90，2条低于0.50（样本01为0.4772，样本02为0.3504）。情感强度预测均值为−0.0266，中位数0.2463，总体标准差0.9595，取值范围−2.5819～1.2546。分类别比较，负向预测的平均最大概率（0.8706）显著高于正向预测（0.6675），负向样本的文本贡献均值（0.6268）亦远高于正向样本（0.2391）。20条样本的最大类别概率与文本贡献的Pearson相关系数为0.8450（</w:t>
      </w:r>
      <m:oMath>
        <m:r>
          <m:t>p</m:t>
        </m:r>
        <m:r>
          <m:rPr>
            <m:sty m:val="p"/>
          </m:rPr>
          <m:t>=</m:t>
        </m:r>
        <m:r>
          <m:t>2.76</m:t>
        </m:r>
        <m:r>
          <m:rPr>
            <m:sty m:val="p"/>
          </m:rPr>
          <m:t>×</m:t>
        </m:r>
        <m:sSup>
          <m:e>
            <m:r>
              <m:t>10</m:t>
            </m:r>
          </m:e>
          <m:sup>
            <m:r>
              <m:rPr>
                <m:sty m:val="p"/>
              </m:rPr>
              <m:t>−</m:t>
            </m:r>
            <m:r>
              <m:t>6</m:t>
            </m:r>
          </m:sup>
        </m:sSup>
      </m:oMath>
      <w:r>
        <w:rPr>
          <w:rFonts w:hint="eastAsia" w:ascii="Times New Roman" w:hAnsi="Times New Roman" w:cs="Times New Roman" w:eastAsia="宋体"/>
          <w:color w:val="000000"/>
          <w:sz w:val="24"/>
        </w:rPr>
        <w:t xml:space="preserve">），高置信预测主要由较强的文本证据支撑。</w:t>
      </w:r>
    </w:p>
    <w:p>
      <w:pPr>
        <w:pStyle w:val="BodyText"/>
        <w:spacing w:before="0" w:after="0" w:line="360" w:lineRule="auto"/>
        <w:ind w:firstLine="480"/>
        <w:jc w:val="both"/>
      </w:pPr>
      <w:r>
        <w:rPr>
          <w:rFonts w:hint="eastAsia" w:ascii="Times New Roman" w:hAnsi="Times New Roman" w:cs="Times New Roman" w:eastAsia="宋体"/>
          <w:b/>
          <w:bCs/>
          <w:color w:val="000000"/>
          <w:sz w:val="24"/>
        </w:rPr>
        <w:t xml:space="preserve">（2）模态贡献。</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附件4上文本、音频、视觉的分类贡献均值分别为0.3490、0.0114与0.0181，与验证集（0.3002、0.0136、0.0170）处于同一量级，模态依赖结构在专项样本上保持一致。主要贡献模态中文本16条，音频2条（04、19），视觉2条（02、14）。文本贡献为正的样本占95%（仅样本04为负），视觉占70%，音频仅占35%（13条为负）。逐样本结果见表7-5。</w:t>
      </w:r>
    </w:p>
    <w:p>
      <w:pPr>
        <w:pStyle w:val="BodyText"/>
        <w:keepNext/>
        <w:spacing w:before="120" w:after="60" w:line="300" w:lineRule="auto"/>
        <w:ind w:firstLine="0"/>
        <w:jc w:val="center"/>
      </w:pPr>
      <w:r>
        <w:rPr>
          <w:rFonts w:hint="eastAsia" w:ascii="Times New Roman" w:hAnsi="Times New Roman" w:cs="Times New Roman" w:eastAsia="黑体"/>
          <w:b/>
          <w:bCs/>
          <w:color w:val="000000"/>
          <w:sz w:val="21"/>
        </w:rPr>
        <w:t xml:space="preserve">表7-5</w:t>
      </w:r>
      <w:r>
        <w:rPr>
          <w:rFonts w:ascii="Times New Roman" w:hAnsi="Times New Roman" w:cs="Times New Roman" w:eastAsia="黑体"/>
          <w:b/>
          <w:bCs/>
          <w:color w:val="000000"/>
          <w:sz w:val="21"/>
        </w:rPr>
        <w:t xml:space="preserve"> </w:t>
      </w:r>
      <w:r>
        <w:rPr>
          <w:rFonts w:hint="eastAsia" w:ascii="Times New Roman" w:hAnsi="Times New Roman" w:cs="Times New Roman" w:eastAsia="黑体"/>
          <w:b/>
          <w:bCs/>
          <w:color w:val="000000"/>
          <w:sz w:val="21"/>
        </w:rPr>
        <w:t xml:space="preserve">附件4预测与解释一览</w:t>
      </w:r>
    </w:p>
    <w:tbl>
      <w:tblPr>
        <w:tblStyle w:val="Table"/>
        <w:tblW w:type="dxa" w:w="9072"/>
        <w:jc w:val="center"/>
        <w:tblLayout w:type="fixed"/>
        <w:tblLook w:firstRow="1" w:lastRow="0" w:firstColumn="0" w:lastColumn="0" w:noHBand="0" w:noVBand="0" w:val="002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CellMar>
          <w:left w:w="57" w:type="dxa"/>
          <w:right w:w="57" w:type="dxa"/>
        </w:tblCellMar>
      </w:tblPr>
      <w:tblGrid>
        <w:gridCol w:w="537"/>
        <w:gridCol w:w="537"/>
        <w:gridCol w:w="1942"/>
        <w:gridCol w:w="712"/>
        <w:gridCol w:w="712"/>
        <w:gridCol w:w="800"/>
        <w:gridCol w:w="800"/>
        <w:gridCol w:w="800"/>
        <w:gridCol w:w="800"/>
        <w:gridCol w:w="537"/>
        <w:gridCol w:w="888"/>
      </w:tblGrid>
      <w:tr>
        <w:trPr>
          <w:tblHeader w:val="on"/>
          <w:tblHeader w:val="true"/>
        </w:trPr>
        <w:tc>
          <w:tcPr>
            <w:tcW w:type="dxa" w:w="537"/>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样本</w:t>
            </w:r>
          </w:p>
        </w:tc>
        <w:tc>
          <w:tcPr>
            <w:tcW w:type="dxa" w:w="537"/>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预测</w:t>
            </w:r>
          </w:p>
        </w:tc>
        <w:tc>
          <w:tcPr>
            <w:tcW w:type="dxa" w:w="1942"/>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负/中/正概率</w:t>
            </w:r>
          </w:p>
        </w:tc>
        <w:tc>
          <w:tcPr>
            <w:tcW w:type="dxa" w:w="713"/>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最大概率</w:t>
            </w:r>
          </w:p>
        </w:tc>
        <w:tc>
          <w:tcPr>
            <w:tcW w:type="dxa" w:w="713"/>
            <w:tcBorders>
              <w:bottom w:val="single" w:sz="6" w:space="0" w:color="000000"/>
            </w:tcBorders>
            <w:vAlign w:val="center"/>
          </w:tcPr>
          <w:p>
            <w:pPr>
              <w:pStyle w:val="Compact"/>
              <w:spacing w:before="30" w:after="30" w:line="240" w:lineRule="auto"/>
              <w:ind w:firstLine="0"/>
              <w:jc w:val="center"/>
            </w:pPr>
            <w:r>
              <w:rPr>
                <w:rFonts w:ascii="Times New Roman" w:hAnsi="Times New Roman" w:cs="Times New Roman" w:eastAsia="宋体"/>
                <w:b/>
                <w:color w:val="000000"/>
                <w:sz w:val="18"/>
              </w:rPr>
              <w:t xml:space="preserve">top1−top2</w:t>
            </w:r>
          </w:p>
        </w:tc>
        <w:tc>
          <w:tcPr>
            <w:tcW w:type="dxa" w:w="801"/>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强度</w:t>
            </w:r>
          </w:p>
        </w:tc>
        <w:tc>
          <w:tcPr>
            <w:tcW w:type="dxa" w:w="801"/>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文本</w:t>
            </w:r>
            <w:r>
              <w:rPr>
                <w:rFonts w:ascii="Times New Roman" w:hAnsi="Times New Roman" w:cs="Times New Roman" w:eastAsia="宋体"/>
                <w:b/>
                <w:color w:val="000000"/>
                <w:sz w:val="18"/>
              </w:rPr>
              <w:t xml:space="preserve"> </w:t>
            </w:r>
            <m:oMath>
              <m:sSup>
                <m:e>
                  <m:r>
                    <m:rPr>
                      <m:sty m:val="p"/>
                    </m:rPr>
                    <m:t>Δ</m:t>
                  </m:r>
                </m:e>
                <m:sup>
                  <m:r>
                    <m:rPr>
                      <m:sty m:val="p"/>
                    </m:rPr>
                    <m:t>c</m:t>
                  </m:r>
                  <m:r>
                    <m:rPr>
                      <m:sty m:val="p"/>
                    </m:rPr>
                    <m:t>l</m:t>
                  </m:r>
                  <m:r>
                    <m:rPr>
                      <m:sty m:val="p"/>
                    </m:rPr>
                    <m:t>s</m:t>
                  </m:r>
                </m:sup>
              </m:sSup>
            </m:oMath>
          </w:p>
        </w:tc>
        <w:tc>
          <w:tcPr>
            <w:tcW w:type="dxa" w:w="801"/>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音频</w:t>
            </w:r>
            <w:r>
              <w:rPr>
                <w:rFonts w:ascii="Times New Roman" w:hAnsi="Times New Roman" w:cs="Times New Roman" w:eastAsia="宋体"/>
                <w:b/>
                <w:color w:val="000000"/>
                <w:sz w:val="18"/>
              </w:rPr>
              <w:t xml:space="preserve"> </w:t>
            </w:r>
            <m:oMath>
              <m:sSup>
                <m:e>
                  <m:r>
                    <m:rPr>
                      <m:sty m:val="p"/>
                    </m:rPr>
                    <m:t>Δ</m:t>
                  </m:r>
                </m:e>
                <m:sup>
                  <m:r>
                    <m:rPr>
                      <m:sty m:val="p"/>
                    </m:rPr>
                    <m:t>c</m:t>
                  </m:r>
                  <m:r>
                    <m:rPr>
                      <m:sty m:val="p"/>
                    </m:rPr>
                    <m:t>l</m:t>
                  </m:r>
                  <m:r>
                    <m:rPr>
                      <m:sty m:val="p"/>
                    </m:rPr>
                    <m:t>s</m:t>
                  </m:r>
                </m:sup>
              </m:sSup>
            </m:oMath>
          </w:p>
        </w:tc>
        <w:tc>
          <w:tcPr>
            <w:tcW w:type="dxa" w:w="801"/>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视觉</w:t>
            </w:r>
            <w:r>
              <w:rPr>
                <w:rFonts w:ascii="Times New Roman" w:hAnsi="Times New Roman" w:cs="Times New Roman" w:eastAsia="宋体"/>
                <w:b/>
                <w:color w:val="000000"/>
                <w:sz w:val="18"/>
              </w:rPr>
              <w:t xml:space="preserve"> </w:t>
            </w:r>
            <m:oMath>
              <m:sSup>
                <m:e>
                  <m:r>
                    <m:rPr>
                      <m:sty m:val="p"/>
                    </m:rPr>
                    <m:t>Δ</m:t>
                  </m:r>
                </m:e>
                <m:sup>
                  <m:r>
                    <m:rPr>
                      <m:sty m:val="p"/>
                    </m:rPr>
                    <m:t>c</m:t>
                  </m:r>
                  <m:r>
                    <m:rPr>
                      <m:sty m:val="p"/>
                    </m:rPr>
                    <m:t>l</m:t>
                  </m:r>
                  <m:r>
                    <m:rPr>
                      <m:sty m:val="p"/>
                    </m:rPr>
                    <m:t>s</m:t>
                  </m:r>
                </m:sup>
              </m:sSup>
            </m:oMath>
          </w:p>
        </w:tc>
        <w:tc>
          <w:tcPr>
            <w:tcW w:type="dxa" w:w="537"/>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主要模态</w:t>
            </w:r>
          </w:p>
        </w:tc>
        <w:tc>
          <w:tcPr>
            <w:tcW w:type="dxa" w:w="888"/>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回看结论</w:t>
            </w:r>
          </w:p>
        </w:tc>
      </w:tr>
      <w:tr>
        <w:tc>
          <w:tcPr>
            <w:tcW w:type="dxa" w:w="537"/>
            <w:vAlign w:val="center"/>
          </w:tcPr>
          <w:p>
            <w:pPr>
              <w:pStyle w:val="Compact"/>
              <w:spacing w:before="30" w:after="30" w:line="240" w:lineRule="auto"/>
              <w:ind w:firstLine="0"/>
              <w:jc w:val="left"/>
            </w:pPr>
            <w:r>
              <w:rPr>
                <w:rFonts w:ascii="Times New Roman" w:hAnsi="Times New Roman" w:cs="Times New Roman" w:eastAsia="宋体"/>
                <w:b w:val="0"/>
                <w:color w:val="000000"/>
                <w:sz w:val="18"/>
              </w:rPr>
              <w:t xml:space="preserve">01</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正向</w:t>
            </w:r>
          </w:p>
        </w:tc>
        <w:tc>
          <w:tcPr>
            <w:tcW w:type="dxa" w:w="1942"/>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0.1173/0.4054/0.4772</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0.4772</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0.0718</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0.2621</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0.1378</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−0.0010</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−0.0181</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文本</w:t>
            </w:r>
          </w:p>
        </w:tc>
        <w:tc>
          <w:tcPr>
            <w:tcW w:type="dxa" w:w="888"/>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不支持</w:t>
            </w:r>
          </w:p>
        </w:tc>
      </w:tr>
      <w:tr>
        <w:tc>
          <w:tcPr>
            <w:tcW w:type="dxa" w:w="537"/>
            <w:vAlign w:val="center"/>
          </w:tcPr>
          <w:p>
            <w:pPr>
              <w:pStyle w:val="Compact"/>
              <w:spacing w:before="30" w:after="30" w:line="240" w:lineRule="auto"/>
              <w:ind w:firstLine="0"/>
              <w:jc w:val="left"/>
            </w:pPr>
            <w:r>
              <w:rPr>
                <w:rFonts w:ascii="Times New Roman" w:hAnsi="Times New Roman" w:cs="Times New Roman" w:eastAsia="宋体"/>
                <w:b w:val="0"/>
                <w:color w:val="000000"/>
                <w:sz w:val="18"/>
              </w:rPr>
              <w:t xml:space="preserve">02</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正向</w:t>
            </w:r>
          </w:p>
        </w:tc>
        <w:tc>
          <w:tcPr>
            <w:tcW w:type="dxa" w:w="1942"/>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0.3075/0.3420/0.3504</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0.3504</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0.0084</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−0.1833</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0.1306</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−0.0839</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−0.1327</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视觉</w:t>
            </w:r>
          </w:p>
        </w:tc>
        <w:tc>
          <w:tcPr>
            <w:tcW w:type="dxa" w:w="888"/>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无法确认</w:t>
            </w:r>
          </w:p>
        </w:tc>
      </w:tr>
      <w:tr>
        <w:tc>
          <w:tcPr>
            <w:tcW w:type="dxa" w:w="537"/>
            <w:vAlign w:val="center"/>
          </w:tcPr>
          <w:p>
            <w:pPr>
              <w:pStyle w:val="Compact"/>
              <w:spacing w:before="30" w:after="30" w:line="240" w:lineRule="auto"/>
              <w:ind w:firstLine="0"/>
              <w:jc w:val="left"/>
            </w:pPr>
            <w:r>
              <w:rPr>
                <w:rFonts w:ascii="Times New Roman" w:hAnsi="Times New Roman" w:cs="Times New Roman" w:eastAsia="宋体"/>
                <w:b w:val="0"/>
                <w:color w:val="000000"/>
                <w:sz w:val="18"/>
              </w:rPr>
              <w:t xml:space="preserve">03</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负向</w:t>
            </w:r>
          </w:p>
        </w:tc>
        <w:tc>
          <w:tcPr>
            <w:tcW w:type="dxa" w:w="1942"/>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0.6214/0.2125/0.1662</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0.6214</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0.4089</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−0.3829</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0.3651</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−0.0871</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0.0421</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文本</w:t>
            </w:r>
          </w:p>
        </w:tc>
        <w:tc>
          <w:tcPr>
            <w:tcW w:type="dxa" w:w="888"/>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不支持</w:t>
            </w:r>
          </w:p>
        </w:tc>
      </w:tr>
      <w:tr>
        <w:tc>
          <w:tcPr>
            <w:tcW w:type="dxa" w:w="537"/>
            <w:vAlign w:val="center"/>
          </w:tcPr>
          <w:p>
            <w:pPr>
              <w:pStyle w:val="Compact"/>
              <w:spacing w:before="30" w:after="30" w:line="240" w:lineRule="auto"/>
              <w:ind w:firstLine="0"/>
              <w:jc w:val="left"/>
            </w:pPr>
            <w:r>
              <w:rPr>
                <w:rFonts w:ascii="Times New Roman" w:hAnsi="Times New Roman" w:cs="Times New Roman" w:eastAsia="宋体"/>
                <w:b w:val="0"/>
                <w:color w:val="000000"/>
                <w:sz w:val="18"/>
              </w:rPr>
              <w:t xml:space="preserve">04</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正向</w:t>
            </w:r>
          </w:p>
        </w:tc>
        <w:tc>
          <w:tcPr>
            <w:tcW w:type="dxa" w:w="1942"/>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0.3620/0.0960/0.5419</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0.5419</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0.1799</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0.3215</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−0.1666</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0.3015</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0.1372</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音频</w:t>
            </w:r>
          </w:p>
        </w:tc>
        <w:tc>
          <w:tcPr>
            <w:tcW w:type="dxa" w:w="888"/>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不支持</w:t>
            </w:r>
          </w:p>
        </w:tc>
      </w:tr>
      <w:tr>
        <w:tc>
          <w:tcPr>
            <w:tcW w:type="dxa" w:w="537"/>
            <w:vAlign w:val="center"/>
          </w:tcPr>
          <w:p>
            <w:pPr>
              <w:pStyle w:val="Compact"/>
              <w:spacing w:before="30" w:after="30" w:line="240" w:lineRule="auto"/>
              <w:ind w:firstLine="0"/>
              <w:jc w:val="left"/>
            </w:pPr>
            <w:r>
              <w:rPr>
                <w:rFonts w:ascii="Times New Roman" w:hAnsi="Times New Roman" w:cs="Times New Roman" w:eastAsia="宋体"/>
                <w:b w:val="0"/>
                <w:color w:val="000000"/>
                <w:sz w:val="18"/>
              </w:rPr>
              <w:t xml:space="preserve">05</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正向</w:t>
            </w:r>
          </w:p>
        </w:tc>
        <w:tc>
          <w:tcPr>
            <w:tcW w:type="dxa" w:w="1942"/>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0.0420/0.2386/0.7194</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0.7194</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0.4808</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0.6135</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0.2304</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−0.0094</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0.1222</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文本</w:t>
            </w:r>
          </w:p>
        </w:tc>
        <w:tc>
          <w:tcPr>
            <w:tcW w:type="dxa" w:w="888"/>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支持</w:t>
            </w:r>
          </w:p>
        </w:tc>
      </w:tr>
      <w:tr>
        <w:tc>
          <w:tcPr>
            <w:tcW w:type="dxa" w:w="537"/>
            <w:vAlign w:val="center"/>
          </w:tcPr>
          <w:p>
            <w:pPr>
              <w:pStyle w:val="Compact"/>
              <w:spacing w:before="30" w:after="30" w:line="240" w:lineRule="auto"/>
              <w:ind w:firstLine="0"/>
              <w:jc w:val="left"/>
            </w:pPr>
            <w:r>
              <w:rPr>
                <w:rFonts w:ascii="Times New Roman" w:hAnsi="Times New Roman" w:cs="Times New Roman" w:eastAsia="宋体"/>
                <w:b w:val="0"/>
                <w:color w:val="000000"/>
                <w:sz w:val="18"/>
              </w:rPr>
              <w:t xml:space="preserve">06</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正向</w:t>
            </w:r>
          </w:p>
        </w:tc>
        <w:tc>
          <w:tcPr>
            <w:tcW w:type="dxa" w:w="1942"/>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0.0469/0.3427/0.6104</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0.6104</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0.2677</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0.6845</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0.2844</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−0.0311</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−0.1311</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文本</w:t>
            </w:r>
          </w:p>
        </w:tc>
        <w:tc>
          <w:tcPr>
            <w:tcW w:type="dxa" w:w="888"/>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部分支持</w:t>
            </w:r>
          </w:p>
        </w:tc>
      </w:tr>
      <w:tr>
        <w:tc>
          <w:tcPr>
            <w:tcW w:type="dxa" w:w="537"/>
            <w:vAlign w:val="center"/>
          </w:tcPr>
          <w:p>
            <w:pPr>
              <w:pStyle w:val="Compact"/>
              <w:spacing w:before="30" w:after="30" w:line="240" w:lineRule="auto"/>
              <w:ind w:firstLine="0"/>
              <w:jc w:val="left"/>
            </w:pPr>
            <w:r>
              <w:rPr>
                <w:rFonts w:ascii="Times New Roman" w:hAnsi="Times New Roman" w:cs="Times New Roman" w:eastAsia="宋体"/>
                <w:b w:val="0"/>
                <w:color w:val="000000"/>
                <w:sz w:val="18"/>
              </w:rPr>
              <w:t xml:space="preserve">07</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正向</w:t>
            </w:r>
          </w:p>
        </w:tc>
        <w:tc>
          <w:tcPr>
            <w:tcW w:type="dxa" w:w="1942"/>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0.0084/0.0849/0.9068</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0.9068</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0.8219</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0.9758</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0.5342</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0.0046</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0.0148</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文本</w:t>
            </w:r>
          </w:p>
        </w:tc>
        <w:tc>
          <w:tcPr>
            <w:tcW w:type="dxa" w:w="888"/>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支持</w:t>
            </w:r>
          </w:p>
        </w:tc>
      </w:tr>
      <w:tr>
        <w:tc>
          <w:tcPr>
            <w:tcW w:type="dxa" w:w="537"/>
            <w:vAlign w:val="center"/>
          </w:tcPr>
          <w:p>
            <w:pPr>
              <w:pStyle w:val="Compact"/>
              <w:spacing w:before="30" w:after="30" w:line="240" w:lineRule="auto"/>
              <w:ind w:firstLine="0"/>
              <w:jc w:val="left"/>
            </w:pPr>
            <w:r>
              <w:rPr>
                <w:rFonts w:ascii="Times New Roman" w:hAnsi="Times New Roman" w:cs="Times New Roman" w:eastAsia="宋体"/>
                <w:b w:val="0"/>
                <w:color w:val="000000"/>
                <w:sz w:val="18"/>
              </w:rPr>
              <w:t xml:space="preserve">08</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正向</w:t>
            </w:r>
          </w:p>
        </w:tc>
        <w:tc>
          <w:tcPr>
            <w:tcW w:type="dxa" w:w="1942"/>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0.0480/0.2883/0.6637</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0.6637</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0.3754</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0.3675</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0.4002</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−0.0524</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−0.1023</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文本</w:t>
            </w:r>
          </w:p>
        </w:tc>
        <w:tc>
          <w:tcPr>
            <w:tcW w:type="dxa" w:w="888"/>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不支持</w:t>
            </w:r>
          </w:p>
        </w:tc>
      </w:tr>
      <w:tr>
        <w:tc>
          <w:tcPr>
            <w:tcW w:type="dxa" w:w="537"/>
            <w:vAlign w:val="center"/>
          </w:tcPr>
          <w:p>
            <w:pPr>
              <w:pStyle w:val="Compact"/>
              <w:spacing w:before="30" w:after="30" w:line="240" w:lineRule="auto"/>
              <w:ind w:firstLine="0"/>
              <w:jc w:val="left"/>
            </w:pPr>
            <w:r>
              <w:rPr>
                <w:rFonts w:ascii="Times New Roman" w:hAnsi="Times New Roman" w:cs="Times New Roman" w:eastAsia="宋体"/>
                <w:b w:val="0"/>
                <w:color w:val="000000"/>
                <w:sz w:val="18"/>
              </w:rPr>
              <w:t xml:space="preserve">09</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负向</w:t>
            </w:r>
          </w:p>
        </w:tc>
        <w:tc>
          <w:tcPr>
            <w:tcW w:type="dxa" w:w="1942"/>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0.9893/0.0057/0.0050</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0.9893</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0.9835</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−1.7717</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0.7681</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−0.0030</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0.0012</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文本</w:t>
            </w:r>
          </w:p>
        </w:tc>
        <w:tc>
          <w:tcPr>
            <w:tcW w:type="dxa" w:w="888"/>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支持</w:t>
            </w:r>
          </w:p>
        </w:tc>
      </w:tr>
      <w:tr>
        <w:tc>
          <w:tcPr>
            <w:tcW w:type="dxa" w:w="537"/>
            <w:vAlign w:val="center"/>
          </w:tcPr>
          <w:p>
            <w:pPr>
              <w:pStyle w:val="Compact"/>
              <w:spacing w:before="30" w:after="30" w:line="240" w:lineRule="auto"/>
              <w:ind w:firstLine="0"/>
              <w:jc w:val="left"/>
            </w:pPr>
            <w:r>
              <w:rPr>
                <w:rFonts w:ascii="Times New Roman" w:hAnsi="Times New Roman" w:cs="Times New Roman" w:eastAsia="宋体"/>
                <w:b w:val="0"/>
                <w:color w:val="000000"/>
                <w:sz w:val="18"/>
              </w:rPr>
              <w:t xml:space="preserve">10</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负向</w:t>
            </w:r>
          </w:p>
        </w:tc>
        <w:tc>
          <w:tcPr>
            <w:tcW w:type="dxa" w:w="1942"/>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0.9386/0.0218/0.0397</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0.9386</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0.8989</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−0.9203</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0.7462</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−0.0272</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0.0195</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文本</w:t>
            </w:r>
          </w:p>
        </w:tc>
        <w:tc>
          <w:tcPr>
            <w:tcW w:type="dxa" w:w="888"/>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支持</w:t>
            </w:r>
          </w:p>
        </w:tc>
      </w:tr>
      <w:tr>
        <w:tc>
          <w:tcPr>
            <w:tcW w:type="dxa" w:w="537"/>
            <w:vAlign w:val="center"/>
          </w:tcPr>
          <w:p>
            <w:pPr>
              <w:pStyle w:val="Compact"/>
              <w:spacing w:before="30" w:after="30" w:line="240" w:lineRule="auto"/>
              <w:ind w:firstLine="0"/>
              <w:jc w:val="left"/>
            </w:pPr>
            <w:r>
              <w:rPr>
                <w:rFonts w:ascii="Times New Roman" w:hAnsi="Times New Roman" w:cs="Times New Roman" w:eastAsia="宋体"/>
                <w:b w:val="0"/>
                <w:color w:val="000000"/>
                <w:sz w:val="18"/>
              </w:rPr>
              <w:t xml:space="preserve">11</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负向</w:t>
            </w:r>
          </w:p>
        </w:tc>
        <w:tc>
          <w:tcPr>
            <w:tcW w:type="dxa" w:w="1942"/>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0.8442/0.0949/0.0609</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0.8442</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0.7493</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−0.9123</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0.5816</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−0.0093</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−0.0032</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文本</w:t>
            </w:r>
          </w:p>
        </w:tc>
        <w:tc>
          <w:tcPr>
            <w:tcW w:type="dxa" w:w="888"/>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支持</w:t>
            </w:r>
          </w:p>
        </w:tc>
      </w:tr>
      <w:tr>
        <w:tc>
          <w:tcPr>
            <w:tcW w:type="dxa" w:w="537"/>
            <w:vAlign w:val="center"/>
          </w:tcPr>
          <w:p>
            <w:pPr>
              <w:pStyle w:val="Compact"/>
              <w:spacing w:before="30" w:after="30" w:line="240" w:lineRule="auto"/>
              <w:ind w:firstLine="0"/>
              <w:jc w:val="left"/>
            </w:pPr>
            <w:r>
              <w:rPr>
                <w:rFonts w:ascii="Times New Roman" w:hAnsi="Times New Roman" w:cs="Times New Roman" w:eastAsia="宋体"/>
                <w:b w:val="0"/>
                <w:color w:val="000000"/>
                <w:sz w:val="18"/>
              </w:rPr>
              <w:t xml:space="preserve">12</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负向</w:t>
            </w:r>
          </w:p>
        </w:tc>
        <w:tc>
          <w:tcPr>
            <w:tcW w:type="dxa" w:w="1942"/>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0.8329/0.1207/0.0464</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0.8329</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0.7121</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−0.9147</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0.5397</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−0.0418</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0.0484</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文本</w:t>
            </w:r>
          </w:p>
        </w:tc>
        <w:tc>
          <w:tcPr>
            <w:tcW w:type="dxa" w:w="888"/>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部分支持</w:t>
            </w:r>
          </w:p>
        </w:tc>
      </w:tr>
      <w:tr>
        <w:tc>
          <w:tcPr>
            <w:tcW w:type="dxa" w:w="537"/>
            <w:vAlign w:val="center"/>
          </w:tcPr>
          <w:p>
            <w:pPr>
              <w:pStyle w:val="Compact"/>
              <w:spacing w:before="30" w:after="30" w:line="240" w:lineRule="auto"/>
              <w:ind w:firstLine="0"/>
              <w:jc w:val="left"/>
            </w:pPr>
            <w:r>
              <w:rPr>
                <w:rFonts w:ascii="Times New Roman" w:hAnsi="Times New Roman" w:cs="Times New Roman" w:eastAsia="宋体"/>
                <w:b w:val="0"/>
                <w:color w:val="000000"/>
                <w:sz w:val="18"/>
              </w:rPr>
              <w:t xml:space="preserve">13</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正向</w:t>
            </w:r>
          </w:p>
        </w:tc>
        <w:tc>
          <w:tcPr>
            <w:tcW w:type="dxa" w:w="1942"/>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0.0646/0.4288/0.5067</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0.5067</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0.0779</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0.2035</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0.1865</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−0.0456</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0.0000*</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文本</w:t>
            </w:r>
          </w:p>
        </w:tc>
        <w:tc>
          <w:tcPr>
            <w:tcW w:type="dxa" w:w="888"/>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无法确认</w:t>
            </w:r>
          </w:p>
        </w:tc>
      </w:tr>
      <w:tr>
        <w:tc>
          <w:tcPr>
            <w:tcW w:type="dxa" w:w="537"/>
            <w:vAlign w:val="center"/>
          </w:tcPr>
          <w:p>
            <w:pPr>
              <w:pStyle w:val="Compact"/>
              <w:spacing w:before="30" w:after="30" w:line="240" w:lineRule="auto"/>
              <w:ind w:firstLine="0"/>
              <w:jc w:val="left"/>
            </w:pPr>
            <w:r>
              <w:rPr>
                <w:rFonts w:ascii="Times New Roman" w:hAnsi="Times New Roman" w:cs="Times New Roman" w:eastAsia="宋体"/>
                <w:b w:val="0"/>
                <w:color w:val="000000"/>
                <w:sz w:val="18"/>
              </w:rPr>
              <w:t xml:space="preserve">14</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正向</w:t>
            </w:r>
          </w:p>
        </w:tc>
        <w:tc>
          <w:tcPr>
            <w:tcW w:type="dxa" w:w="1942"/>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0.0374/0.3441/0.6185</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0.6185</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0.2744</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0.6845</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0.0094</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0.0384</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0.1702</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视觉</w:t>
            </w:r>
          </w:p>
        </w:tc>
        <w:tc>
          <w:tcPr>
            <w:tcW w:type="dxa" w:w="888"/>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支持</w:t>
            </w:r>
          </w:p>
        </w:tc>
      </w:tr>
      <w:tr>
        <w:tc>
          <w:tcPr>
            <w:tcW w:type="dxa" w:w="537"/>
            <w:vAlign w:val="center"/>
          </w:tcPr>
          <w:p>
            <w:pPr>
              <w:pStyle w:val="Compact"/>
              <w:spacing w:before="30" w:after="30" w:line="240" w:lineRule="auto"/>
              <w:ind w:firstLine="0"/>
              <w:jc w:val="left"/>
            </w:pPr>
            <w:r>
              <w:rPr>
                <w:rFonts w:ascii="Times New Roman" w:hAnsi="Times New Roman" w:cs="Times New Roman" w:eastAsia="宋体"/>
                <w:b w:val="0"/>
                <w:color w:val="000000"/>
                <w:sz w:val="18"/>
              </w:rPr>
              <w:t xml:space="preserve">15</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正向</w:t>
            </w:r>
          </w:p>
        </w:tc>
        <w:tc>
          <w:tcPr>
            <w:tcW w:type="dxa" w:w="1942"/>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0.0144/0.0619/0.9237</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0.9237</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0.8618</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1.0277</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0.3525</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0.0480</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0.0201</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文本</w:t>
            </w:r>
          </w:p>
        </w:tc>
        <w:tc>
          <w:tcPr>
            <w:tcW w:type="dxa" w:w="888"/>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支持</w:t>
            </w:r>
          </w:p>
        </w:tc>
      </w:tr>
      <w:tr>
        <w:tc>
          <w:tcPr>
            <w:tcW w:type="dxa" w:w="537"/>
            <w:vAlign w:val="center"/>
          </w:tcPr>
          <w:p>
            <w:pPr>
              <w:pStyle w:val="Compact"/>
              <w:spacing w:before="30" w:after="30" w:line="240" w:lineRule="auto"/>
              <w:ind w:firstLine="0"/>
              <w:jc w:val="left"/>
            </w:pPr>
            <w:r>
              <w:rPr>
                <w:rFonts w:ascii="Times New Roman" w:hAnsi="Times New Roman" w:cs="Times New Roman" w:eastAsia="宋体"/>
                <w:b w:val="0"/>
                <w:color w:val="000000"/>
                <w:sz w:val="18"/>
              </w:rPr>
              <w:t xml:space="preserve">16</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负向</w:t>
            </w:r>
          </w:p>
        </w:tc>
        <w:tc>
          <w:tcPr>
            <w:tcW w:type="dxa" w:w="1942"/>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0.9970/0.0023/0.0007</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0.9970</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0.9947</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−2.5819</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0.7602</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−0.0009</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0.0014</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文本</w:t>
            </w:r>
          </w:p>
        </w:tc>
        <w:tc>
          <w:tcPr>
            <w:tcW w:type="dxa" w:w="888"/>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支持</w:t>
            </w:r>
          </w:p>
        </w:tc>
      </w:tr>
      <w:tr>
        <w:tc>
          <w:tcPr>
            <w:tcW w:type="dxa" w:w="537"/>
            <w:vAlign w:val="center"/>
          </w:tcPr>
          <w:p>
            <w:pPr>
              <w:pStyle w:val="Compact"/>
              <w:spacing w:before="30" w:after="30" w:line="240" w:lineRule="auto"/>
              <w:ind w:firstLine="0"/>
              <w:jc w:val="left"/>
            </w:pPr>
            <w:r>
              <w:rPr>
                <w:rFonts w:ascii="Times New Roman" w:hAnsi="Times New Roman" w:cs="Times New Roman" w:eastAsia="宋体"/>
                <w:b w:val="0"/>
                <w:color w:val="000000"/>
                <w:sz w:val="18"/>
              </w:rPr>
              <w:t xml:space="preserve">17</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正向</w:t>
            </w:r>
          </w:p>
        </w:tc>
        <w:tc>
          <w:tcPr>
            <w:tcW w:type="dxa" w:w="1942"/>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0.0030/0.0342/0.9628</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0.9628</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0.9286</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1.2546</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0.5537</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−0.0017</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0.0089</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文本</w:t>
            </w:r>
          </w:p>
        </w:tc>
        <w:tc>
          <w:tcPr>
            <w:tcW w:type="dxa" w:w="888"/>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部分支持</w:t>
            </w:r>
          </w:p>
        </w:tc>
      </w:tr>
      <w:tr>
        <w:tc>
          <w:tcPr>
            <w:tcW w:type="dxa" w:w="537"/>
            <w:vAlign w:val="center"/>
          </w:tcPr>
          <w:p>
            <w:pPr>
              <w:pStyle w:val="Compact"/>
              <w:spacing w:before="30" w:after="30" w:line="240" w:lineRule="auto"/>
              <w:ind w:firstLine="0"/>
              <w:jc w:val="left"/>
            </w:pPr>
            <w:r>
              <w:rPr>
                <w:rFonts w:ascii="Times New Roman" w:hAnsi="Times New Roman" w:cs="Times New Roman" w:eastAsia="宋体"/>
                <w:b w:val="0"/>
                <w:color w:val="000000"/>
                <w:sz w:val="18"/>
              </w:rPr>
              <w:t xml:space="preserve">18</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中性</w:t>
            </w:r>
          </w:p>
        </w:tc>
        <w:tc>
          <w:tcPr>
            <w:tcW w:type="dxa" w:w="1942"/>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0.2837/0.5143/0.2020</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0.5143</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0.2307</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−0.2453</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0.1104</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0.0550</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0.0725</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文本</w:t>
            </w:r>
          </w:p>
        </w:tc>
        <w:tc>
          <w:tcPr>
            <w:tcW w:type="dxa" w:w="888"/>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支持</w:t>
            </w:r>
          </w:p>
        </w:tc>
      </w:tr>
      <w:tr>
        <w:tc>
          <w:tcPr>
            <w:tcW w:type="dxa" w:w="537"/>
            <w:vAlign w:val="center"/>
          </w:tcPr>
          <w:p>
            <w:pPr>
              <w:pStyle w:val="Compact"/>
              <w:spacing w:before="30" w:after="30" w:line="240" w:lineRule="auto"/>
              <w:ind w:firstLine="0"/>
              <w:jc w:val="left"/>
            </w:pPr>
            <w:r>
              <w:rPr>
                <w:rFonts w:ascii="Times New Roman" w:hAnsi="Times New Roman" w:cs="Times New Roman" w:eastAsia="宋体"/>
                <w:b w:val="0"/>
                <w:color w:val="000000"/>
                <w:sz w:val="18"/>
              </w:rPr>
              <w:t xml:space="preserve">19</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正向</w:t>
            </w:r>
          </w:p>
        </w:tc>
        <w:tc>
          <w:tcPr>
            <w:tcW w:type="dxa" w:w="1942"/>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0.3210/0.1481/0.5309</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0.5309</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0.2098</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0.2304</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0.0640</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0.1490</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0.0523</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音频</w:t>
            </w:r>
          </w:p>
        </w:tc>
        <w:tc>
          <w:tcPr>
            <w:tcW w:type="dxa" w:w="888"/>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支持</w:t>
            </w:r>
          </w:p>
        </w:tc>
      </w:tr>
      <w:tr>
        <w:tc>
          <w:tcPr>
            <w:tcW w:type="dxa" w:w="537"/>
            <w:vAlign w:val="center"/>
          </w:tcPr>
          <w:p>
            <w:pPr>
              <w:pStyle w:val="Compact"/>
              <w:spacing w:before="30" w:after="30" w:line="240" w:lineRule="auto"/>
              <w:ind w:firstLine="0"/>
              <w:jc w:val="left"/>
            </w:pPr>
            <w:r>
              <w:rPr>
                <w:rFonts w:ascii="Times New Roman" w:hAnsi="Times New Roman" w:cs="Times New Roman" w:eastAsia="宋体"/>
                <w:b w:val="0"/>
                <w:color w:val="000000"/>
                <w:sz w:val="18"/>
              </w:rPr>
              <w:t xml:space="preserve">20</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正向</w:t>
            </w:r>
          </w:p>
        </w:tc>
        <w:tc>
          <w:tcPr>
            <w:tcW w:type="dxa" w:w="1942"/>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0.0127/0.1225/0.8648</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0.8648</w:t>
            </w:r>
          </w:p>
        </w:tc>
        <w:tc>
          <w:tcPr>
            <w:tcW w:type="dxa" w:w="713"/>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0.7423</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0.7550</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0.3918</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0.0268</w:t>
            </w:r>
          </w:p>
        </w:tc>
        <w:tc>
          <w:tcPr>
            <w:tcW w:type="dxa" w:w="801"/>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0.0379</w:t>
            </w:r>
          </w:p>
        </w:tc>
        <w:tc>
          <w:tcPr>
            <w:tcW w:type="dxa" w:w="537"/>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文本</w:t>
            </w:r>
          </w:p>
        </w:tc>
        <w:tc>
          <w:tcPr>
            <w:tcW w:type="dxa" w:w="888"/>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不支持</w:t>
            </w:r>
          </w:p>
        </w:tc>
      </w:tr>
    </w:tbl>
    <w:p>
      <w:pPr>
        <w:pStyle w:val="BodyText"/>
        <w:spacing w:before="0" w:after="120" w:line="300" w:lineRule="auto"/>
        <w:ind w:firstLine="0"/>
      </w:pPr>
      <w:r>
        <w:rPr>
          <w:rFonts w:hint="eastAsia" w:ascii="Times New Roman" w:hAnsi="Times New Roman" w:cs="Times New Roman" w:eastAsia="宋体"/>
          <w:color w:val="000000"/>
          <w:sz w:val="21"/>
        </w:rPr>
        <w:t xml:space="preserve">注：*样本13的视觉特征整条为零，视觉贡献无法评估，不表示视觉不起作用。回看结论经AI辅助回看、人工逐条复核确认；“支持”指画面、语音或文本中存在与预测极性方向一致的内容线索，不等同于预测正确。</w:t>
      </w:r>
    </w:p>
    <w:p>
      <w:pPr>
        <w:pStyle w:val="BodyText"/>
        <w:spacing w:before="0" w:after="0" w:line="360" w:lineRule="auto"/>
        <w:ind w:firstLine="480"/>
        <w:jc w:val="both"/>
      </w:pPr>
      <w:r>
        <w:rPr>
          <w:rFonts w:hint="eastAsia" w:ascii="Times New Roman" w:hAnsi="Times New Roman" w:cs="Times New Roman" w:eastAsia="宋体"/>
          <w:b/>
          <w:bCs/>
          <w:color w:val="000000"/>
          <w:sz w:val="24"/>
        </w:rPr>
        <w:t xml:space="preserve">（3）关键证据与人工回看。</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每条样本输出三种模态各自的Top-5关键证据，共296条（文本100条、音频100条、视觉96条；样本13无视觉证据，以1条占位记录代替）。文本证据中功能词占43.0%，与验证集的47.5%处于同一水平，表明单词元遮蔽的局限在专项样本上同样存在。按视觉Top-3关键窗口的中点时刻截取关键帧共57张，其中45张随附件提交。</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每条样本均配有时间轴总览、视觉关键窗口放大图与音频能量/基频（F0）曲线，先由AI辅助逐条判定，再经人工逐条复核，20条复核结果均为认可AI判定。由于复核以AI判定为起点而非独立标注，本文将其界定为“AI辅助回看、人工复核确认”，不视为独立的人工标注。判定标准为：画面、语音或文本中存在与预测极性一致的内容线索，记为“支持”；线索方向相反或不含情绪线索，记为“不支持”；证据不足以作出判断，记为“无法确认”。按预测类别汇总的结果见表7-6。</w:t>
      </w:r>
    </w:p>
    <w:p>
      <w:pPr>
        <w:pStyle w:val="BodyText"/>
        <w:keepNext/>
        <w:spacing w:before="120" w:after="60" w:line="300" w:lineRule="auto"/>
        <w:ind w:firstLine="0"/>
        <w:jc w:val="center"/>
      </w:pPr>
      <w:r>
        <w:rPr>
          <w:rFonts w:hint="eastAsia" w:ascii="Times New Roman" w:hAnsi="Times New Roman" w:cs="Times New Roman" w:eastAsia="黑体"/>
          <w:b/>
          <w:bCs/>
          <w:color w:val="000000"/>
          <w:sz w:val="21"/>
        </w:rPr>
        <w:t xml:space="preserve">表7-6</w:t>
      </w:r>
      <w:r>
        <w:rPr>
          <w:rFonts w:ascii="Times New Roman" w:hAnsi="Times New Roman" w:cs="Times New Roman" w:eastAsia="黑体"/>
          <w:b/>
          <w:bCs/>
          <w:color w:val="000000"/>
          <w:sz w:val="21"/>
        </w:rPr>
        <w:t xml:space="preserve"> </w:t>
      </w:r>
      <w:r>
        <w:rPr>
          <w:rFonts w:hint="eastAsia" w:ascii="Times New Roman" w:hAnsi="Times New Roman" w:cs="Times New Roman" w:eastAsia="黑体"/>
          <w:b/>
          <w:bCs/>
          <w:color w:val="000000"/>
          <w:sz w:val="21"/>
        </w:rPr>
        <w:t xml:space="preserve">附件4回看结论与预测类别交叉</w:t>
      </w:r>
    </w:p>
    <w:tbl>
      <w:tblPr>
        <w:tblStyle w:val="Table"/>
        <w:tblW w:type="dxa" w:w="9072"/>
        <w:jc w:val="center"/>
        <w:tblLayout w:type="fixed"/>
        <w:tblLook w:firstRow="1" w:lastRow="0" w:firstColumn="0" w:lastColumn="0" w:noHBand="0" w:noVBand="0" w:val="0020"/>
        <w:tblBorders>
          <w:top w:val="single" w:sz="12" w:space="0" w:color="000000"/>
          <w:left w:val="nil" w:sz="0" w:space="0" w:color="000000"/>
          <w:bottom w:val="single" w:sz="12" w:space="0" w:color="000000"/>
          <w:right w:val="nil" w:sz="0" w:space="0" w:color="000000"/>
          <w:insideH w:val="nil" w:sz="0" w:space="0" w:color="000000"/>
          <w:insideV w:val="nil" w:sz="0" w:space="0" w:color="000000"/>
        </w:tblBorders>
        <w:tblLayout w:type="fixed"/>
        <w:tblCellMar>
          <w:left w:w="57" w:type="dxa"/>
          <w:right w:w="57" w:type="dxa"/>
        </w:tblCellMar>
      </w:tblPr>
      <w:tblGrid>
        <w:gridCol w:w="670"/>
        <w:gridCol w:w="670"/>
        <w:gridCol w:w="670"/>
        <w:gridCol w:w="670"/>
        <w:gridCol w:w="670"/>
        <w:gridCol w:w="670"/>
        <w:gridCol w:w="5051"/>
      </w:tblGrid>
      <w:tr>
        <w:trPr>
          <w:tblHeader w:val="on"/>
          <w:tblHeader w:val="true"/>
        </w:trPr>
        <w:tc>
          <w:tcPr>
            <w:tcW w:type="dxa" w:w="670"/>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预测类别</w:t>
            </w:r>
          </w:p>
        </w:tc>
        <w:tc>
          <w:tcPr>
            <w:tcW w:type="dxa" w:w="670"/>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支持</w:t>
            </w:r>
          </w:p>
        </w:tc>
        <w:tc>
          <w:tcPr>
            <w:tcW w:type="dxa" w:w="670"/>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部分支持</w:t>
            </w:r>
          </w:p>
        </w:tc>
        <w:tc>
          <w:tcPr>
            <w:tcW w:type="dxa" w:w="670"/>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不支持</w:t>
            </w:r>
          </w:p>
        </w:tc>
        <w:tc>
          <w:tcPr>
            <w:tcW w:type="dxa" w:w="670"/>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无法确认</w:t>
            </w:r>
          </w:p>
        </w:tc>
        <w:tc>
          <w:tcPr>
            <w:tcW w:type="dxa" w:w="670"/>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合计</w:t>
            </w:r>
          </w:p>
        </w:tc>
        <w:tc>
          <w:tcPr>
            <w:tcW w:type="dxa" w:w="5051"/>
            <w:tcBorders>
              <w:bottom w:val="single" w:sz="6" w:space="0" w:color="000000"/>
            </w:tcBorders>
            <w:vAlign w:val="center"/>
          </w:tcPr>
          <w:p>
            <w:pPr>
              <w:pStyle w:val="Compact"/>
              <w:spacing w:before="30" w:after="30" w:line="240" w:lineRule="auto"/>
              <w:ind w:firstLine="0"/>
              <w:jc w:val="center"/>
            </w:pPr>
            <w:r>
              <w:rPr>
                <w:rFonts w:hint="eastAsia" w:ascii="Times New Roman" w:hAnsi="Times New Roman" w:cs="Times New Roman" w:eastAsia="宋体"/>
                <w:b/>
                <w:color w:val="000000"/>
                <w:sz w:val="18"/>
              </w:rPr>
              <w:t xml:space="preserve">样本</w:t>
            </w:r>
          </w:p>
        </w:tc>
      </w:tr>
      <w:tr>
        <w:tc>
          <w:tcPr>
            <w:tcW w:type="dxa" w:w="670"/>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负向</w:t>
            </w:r>
          </w:p>
        </w:tc>
        <w:tc>
          <w:tcPr>
            <w:tcW w:type="dxa" w:w="670"/>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4</w:t>
            </w:r>
          </w:p>
        </w:tc>
        <w:tc>
          <w:tcPr>
            <w:tcW w:type="dxa" w:w="670"/>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1</w:t>
            </w:r>
          </w:p>
        </w:tc>
        <w:tc>
          <w:tcPr>
            <w:tcW w:type="dxa" w:w="670"/>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1</w:t>
            </w:r>
          </w:p>
        </w:tc>
        <w:tc>
          <w:tcPr>
            <w:tcW w:type="dxa" w:w="670"/>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w:t>
            </w:r>
          </w:p>
        </w:tc>
        <w:tc>
          <w:tcPr>
            <w:tcW w:type="dxa" w:w="670"/>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6</w:t>
            </w:r>
          </w:p>
        </w:tc>
        <w:tc>
          <w:tcPr>
            <w:tcW w:type="dxa" w:w="5051"/>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支持：09、10、11、16；部分：12；不支持：03</w:t>
            </w:r>
          </w:p>
        </w:tc>
      </w:tr>
      <w:tr>
        <w:tc>
          <w:tcPr>
            <w:tcW w:type="dxa" w:w="670"/>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中性</w:t>
            </w:r>
          </w:p>
        </w:tc>
        <w:tc>
          <w:tcPr>
            <w:tcW w:type="dxa" w:w="670"/>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1</w:t>
            </w:r>
          </w:p>
        </w:tc>
        <w:tc>
          <w:tcPr>
            <w:tcW w:type="dxa" w:w="670"/>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w:t>
            </w:r>
          </w:p>
        </w:tc>
        <w:tc>
          <w:tcPr>
            <w:tcW w:type="dxa" w:w="670"/>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w:t>
            </w:r>
          </w:p>
        </w:tc>
        <w:tc>
          <w:tcPr>
            <w:tcW w:type="dxa" w:w="670"/>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0</w:t>
            </w:r>
          </w:p>
        </w:tc>
        <w:tc>
          <w:tcPr>
            <w:tcW w:type="dxa" w:w="670"/>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1</w:t>
            </w:r>
          </w:p>
        </w:tc>
        <w:tc>
          <w:tcPr>
            <w:tcW w:type="dxa" w:w="5051"/>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支持：18</w:t>
            </w:r>
          </w:p>
        </w:tc>
      </w:tr>
      <w:tr>
        <w:tc>
          <w:tcPr>
            <w:tcW w:type="dxa" w:w="670"/>
            <w:vAlign w:val="center"/>
          </w:tcPr>
          <w:p>
            <w:pPr>
              <w:pStyle w:val="Compact"/>
              <w:spacing w:before="30" w:after="30" w:line="240" w:lineRule="auto"/>
              <w:ind w:firstLine="0"/>
              <w:jc w:val="center"/>
            </w:pPr>
            <w:r>
              <w:rPr>
                <w:rFonts w:hint="eastAsia" w:ascii="Times New Roman" w:hAnsi="Times New Roman" w:cs="Times New Roman" w:eastAsia="宋体"/>
                <w:b w:val="0"/>
                <w:color w:val="000000"/>
                <w:sz w:val="18"/>
              </w:rPr>
              <w:t xml:space="preserve">正向</w:t>
            </w:r>
          </w:p>
        </w:tc>
        <w:tc>
          <w:tcPr>
            <w:tcW w:type="dxa" w:w="670"/>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5</w:t>
            </w:r>
          </w:p>
        </w:tc>
        <w:tc>
          <w:tcPr>
            <w:tcW w:type="dxa" w:w="670"/>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2</w:t>
            </w:r>
          </w:p>
        </w:tc>
        <w:tc>
          <w:tcPr>
            <w:tcW w:type="dxa" w:w="670"/>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4</w:t>
            </w:r>
          </w:p>
        </w:tc>
        <w:tc>
          <w:tcPr>
            <w:tcW w:type="dxa" w:w="670"/>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2</w:t>
            </w:r>
          </w:p>
        </w:tc>
        <w:tc>
          <w:tcPr>
            <w:tcW w:type="dxa" w:w="670"/>
            <w:vAlign w:val="center"/>
          </w:tcPr>
          <w:p>
            <w:pPr>
              <w:pStyle w:val="Compact"/>
              <w:spacing w:before="30" w:after="30" w:line="240" w:lineRule="auto"/>
              <w:ind w:firstLine="0"/>
              <w:jc w:val="center"/>
            </w:pPr>
            <w:r>
              <w:rPr>
                <w:rFonts w:ascii="Times New Roman" w:hAnsi="Times New Roman" w:cs="Times New Roman" w:eastAsia="宋体"/>
                <w:b w:val="0"/>
                <w:color w:val="000000"/>
                <w:sz w:val="18"/>
              </w:rPr>
              <w:t xml:space="preserve">13</w:t>
            </w:r>
          </w:p>
        </w:tc>
        <w:tc>
          <w:tcPr>
            <w:tcW w:type="dxa" w:w="5051"/>
            <w:vAlign w:val="center"/>
          </w:tcPr>
          <w:p>
            <w:pPr>
              <w:pStyle w:val="Compact"/>
              <w:spacing w:before="30" w:after="30" w:line="240" w:lineRule="auto"/>
              <w:ind w:firstLine="0"/>
              <w:jc w:val="left"/>
            </w:pPr>
            <w:r>
              <w:rPr>
                <w:rFonts w:hint="eastAsia" w:ascii="Times New Roman" w:hAnsi="Times New Roman" w:cs="Times New Roman" w:eastAsia="宋体"/>
                <w:b w:val="0"/>
                <w:color w:val="000000"/>
                <w:sz w:val="18"/>
              </w:rPr>
              <w:t xml:space="preserve">支持：05、07、14、15、19；部分：06、17；不支持：01、04、08、20；无法确认：02、13</w:t>
            </w:r>
          </w:p>
        </w:tc>
      </w:tr>
    </w:tbl>
    <w:p>
      <w:pPr>
        <w:pStyle w:val="BodyText"/>
        <w:spacing w:before="0" w:after="0" w:line="360" w:lineRule="auto"/>
        <w:ind w:firstLine="480"/>
        <w:jc w:val="both"/>
      </w:pPr>
      <w:r>
        <w:rPr>
          <w:rFonts w:hint="eastAsia" w:ascii="Times New Roman" w:hAnsi="Times New Roman" w:cs="Times New Roman" w:eastAsia="宋体"/>
          <w:color w:val="000000"/>
          <w:sz w:val="24"/>
        </w:rPr>
        <w:t xml:space="preserve">时间对齐方面，20条样本均未发现证据位置与视频内容明显错位。以有声比例衡量，13条样本关键音频窗口的有声比例不低于全片水平，其余7条（02、03、05、06、09、17、20）略低，其中样本05最低（0.479，全片为0.541），与其片头黑屏段有关。总体上，关键音频窗口主要落于语音活动区间而非静音段，映射结果在内容层面是可信的。</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内容支撑方面，负向预测的支撑程度明显高于正向预测。6条负向预测中，09、10、11、16的转写分别包含</w:t>
      </w:r>
      <w:r>
        <w:rPr>
          <w:rFonts w:ascii="Times New Roman" w:hAnsi="Times New Roman" w:cs="Times New Roman" w:eastAsia="宋体"/>
          <w:color w:val="000000"/>
          <w:sz w:val="24"/>
        </w:rPr>
        <w:t xml:space="preserve"> did not like、terrible、ashamed、terrible </w:t>
      </w:r>
      <w:r>
        <w:rPr>
          <w:rFonts w:hint="eastAsia" w:ascii="Times New Roman" w:hAnsi="Times New Roman" w:cs="Times New Roman" w:eastAsia="宋体"/>
          <w:color w:val="000000"/>
          <w:sz w:val="24"/>
        </w:rPr>
        <w:t xml:space="preserve">等显式消极表达，判为支持；12涉及信用受损这一消极话题，但表述为客观陈述，判为部分支持；03为贷款产品说明，未见消极情绪线索，判为不支持。13条正向预测中有5条获得支持，其中05、14、19主要依据画面中明显的笑容，07、15依据文本中的积极表述；另有4条不支持，01、08、20分别为技术讲解、活动开场与节目收尾，内容呈中性，04的转写还包含</w:t>
      </w:r>
      <w:r>
        <w:rPr>
          <w:rFonts w:ascii="Times New Roman" w:hAnsi="Times New Roman" w:cs="Times New Roman" w:eastAsia="宋体"/>
          <w:color w:val="000000"/>
          <w:sz w:val="24"/>
        </w:rPr>
        <w:t xml:space="preserve"> nervous、blow it </w:t>
      </w:r>
      <w:r>
        <w:rPr>
          <w:rFonts w:hint="eastAsia" w:ascii="Times New Roman" w:hAnsi="Times New Roman" w:cs="Times New Roman" w:eastAsia="宋体"/>
          <w:color w:val="000000"/>
          <w:sz w:val="24"/>
        </w:rPr>
        <w:t xml:space="preserve">等偏消极表达。这一模式与第六章在附件3上观察到的正向预测比例偏高相一致，提示在文本证据较弱或语义含混时，模型存在向正向类别偏置的倾向。鉴于附件4仅20条且无标签，本文不将该结果换算为错误率，亦不据此调整模型或阈值。</w:t>
      </w:r>
    </w:p>
    <w:p>
      <w:pPr>
        <w:pStyle w:val="BodyText"/>
        <w:spacing w:before="0" w:after="0" w:line="360" w:lineRule="auto"/>
        <w:ind w:firstLine="480"/>
        <w:jc w:val="both"/>
      </w:pPr>
      <w:r>
        <w:rPr>
          <w:rFonts w:hint="eastAsia" w:ascii="Times New Roman" w:hAnsi="Times New Roman" w:cs="Times New Roman" w:eastAsia="宋体"/>
          <w:b/>
          <w:bCs/>
          <w:color w:val="000000"/>
          <w:sz w:val="24"/>
        </w:rPr>
        <w:t xml:space="preserve">（4）特殊样本说明。</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样本02的三类概率为0.3075/0.3420/0.3504，最高与次高概率之差仅0.0084，类别判定接近随机水平；其强度预测为−0.1833，与正向类别方向相反，是20条中唯一分类输出与回归输出方向不一致的样本；此外，视频末尾约1</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s为静音，尾段重建时间仅供参考。样本13的视觉特征整条为零，而原始视频画面正常（会议室场景，讲者面向听众），属于特征提取环节的缺失，其视觉贡献不可评估，不能解读为视觉模态不起作用；其余19条样本的音频与视觉非零桶位数逐条相等，仅13号例外。样本04的文本贡献为−0.1666，即移除文本后模型对正向类别的置信度反而上升，说明模型并非在所有样本上都以文本为依据。</w:t>
      </w:r>
    </w:p>
    <w:p>
      <w:pPr>
        <w:pStyle w:val="BodyText"/>
        <w:spacing w:before="0" w:after="0" w:line="360" w:lineRule="auto"/>
        <w:ind w:firstLine="480"/>
        <w:jc w:val="both"/>
      </w:pPr>
      <w:r>
        <w:rPr>
          <w:rFonts w:hint="eastAsia" w:ascii="Times New Roman" w:hAnsi="Times New Roman" w:cs="Times New Roman" w:eastAsia="宋体"/>
          <w:b/>
          <w:bCs/>
          <w:color w:val="000000"/>
          <w:sz w:val="24"/>
        </w:rPr>
        <w:t xml:space="preserve">（5）代表案例。</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图7-8给出三个代表样本的关键证据回看图：文本主导的高置信样本09、低置信边界样本02与视觉主导样本14。20条样本的完整回看图与解释卡列入附件。</w:t>
      </w:r>
    </w:p>
    <w:p>
      <w:pPr>
        <w:pStyle w:val="BodyText"/>
        <w:keepNext/>
        <w:spacing w:before="120" w:after="0" w:line="240" w:lineRule="auto"/>
        <w:ind w:firstLine="0"/>
        <w:jc w:val="center"/>
      </w:pPr>
      <w:r>
        <w:drawing>
          <wp:inline>
            <wp:extent cx="5334000" cy="6545101"/>
            <wp:effectExtent b="0" l="0" r="0" t="0"/>
            <wp:docPr descr="" title="" id="42" name="Picture"/>
            <a:graphic>
              <a:graphicData uri="http://schemas.openxmlformats.org/drawingml/2006/picture">
                <pic:pic>
                  <pic:nvPicPr>
                    <pic:cNvPr descr="figures/图7-8_附件4典型样本关键证据回看图.png" id="43" name="Picture"/>
                    <pic:cNvPicPr>
                      <a:picLocks noChangeArrowheads="1" noChangeAspect="1"/>
                    </pic:cNvPicPr>
                  </pic:nvPicPr>
                  <pic:blipFill>
                    <a:blip r:embed="rId41"/>
                    <a:stretch>
                      <a:fillRect/>
                    </a:stretch>
                  </pic:blipFill>
                  <pic:spPr bwMode="auto">
                    <a:xfrm>
                      <a:off x="0" y="0"/>
                      <a:ext cx="5334000" cy="6545101"/>
                    </a:xfrm>
                    <a:prstGeom prst="rect">
                      <a:avLst/>
                    </a:prstGeom>
                    <a:noFill/>
                    <a:ln w="9525">
                      <a:noFill/>
                      <a:headEnd/>
                      <a:tailEnd/>
                    </a:ln>
                  </pic:spPr>
                </pic:pic>
              </a:graphicData>
            </a:graphic>
          </wp:inline>
        </w:drawing>
      </w:r>
    </w:p>
    <w:p>
      <w:pPr>
        <w:pStyle w:val="BodyText"/>
        <w:spacing w:before="0" w:after="180" w:line="300" w:lineRule="auto"/>
        <w:ind w:firstLine="0"/>
        <w:jc w:val="center"/>
      </w:pPr>
      <w:r>
        <w:rPr>
          <w:rFonts w:hint="eastAsia" w:ascii="Times New Roman" w:hAnsi="Times New Roman" w:cs="Times New Roman" w:eastAsia="黑体"/>
          <w:b/>
          <w:bCs/>
          <w:color w:val="000000"/>
          <w:sz w:val="21"/>
        </w:rPr>
        <w:t xml:space="preserve">图7-8</w:t>
      </w:r>
      <w:r>
        <w:rPr>
          <w:rFonts w:ascii="Times New Roman" w:hAnsi="Times New Roman" w:cs="Times New Roman" w:eastAsia="黑体"/>
          <w:b/>
          <w:bCs/>
          <w:color w:val="000000"/>
          <w:sz w:val="21"/>
        </w:rPr>
        <w:t xml:space="preserve"> </w:t>
      </w:r>
      <w:r>
        <w:rPr>
          <w:rFonts w:hint="eastAsia" w:ascii="Times New Roman" w:hAnsi="Times New Roman" w:cs="Times New Roman" w:eastAsia="黑体"/>
          <w:b/>
          <w:bCs/>
          <w:color w:val="000000"/>
          <w:sz w:val="21"/>
        </w:rPr>
        <w:t xml:space="preserve">附件4典型样本关键证据回看图。</w:t>
      </w:r>
      <w:r>
        <w:rPr>
          <w:rFonts w:ascii="Times New Roman" w:hAnsi="Times New Roman" w:cs="Times New Roman" w:eastAsia="宋体"/>
          <w:color w:val="000000"/>
          <w:sz w:val="21"/>
        </w:rPr>
        <w:t xml:space="preserve"> </w:t>
      </w:r>
      <w:r>
        <w:rPr>
          <w:rFonts w:hint="eastAsia" w:ascii="Times New Roman" w:hAnsi="Times New Roman" w:cs="Times New Roman" w:eastAsia="宋体"/>
          <w:color w:val="000000"/>
          <w:sz w:val="21"/>
        </w:rPr>
        <w:t xml:space="preserve">左列为视觉rank-1关键窗口中点的关键帧；中列为音频、视觉Top-5关键窗口在视频内的重建时间位置（深色为rank-1，点线为关键帧时刻）；右列为文本Top-5词元及其±3词元上下文。时间与帧号均为按有效跨度重建的近似值。</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样本09的文本贡献为+0.7681，音频与视觉仅为−0.0030与+0.0012，模型以0.9893的概率判为负向。文本前三位证据为</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not、did、not，对应上下文“i</w:t>
      </w:r>
      <w:r>
        <w:rPr>
          <w:rFonts w:ascii="Times New Roman" w:hAnsi="Times New Roman" w:cs="Times New Roman" w:eastAsia="宋体"/>
          <w:color w:val="000000"/>
          <w:sz w:val="24"/>
        </w:rPr>
        <w:t xml:space="preserve"> did not like this </w:t>
      </w:r>
      <w:r>
        <w:rPr>
          <w:rFonts w:hint="eastAsia" w:ascii="Times New Roman" w:hAnsi="Times New Roman" w:cs="Times New Roman" w:eastAsia="宋体"/>
          <w:color w:val="000000"/>
          <w:sz w:val="24"/>
        </w:rPr>
        <w:t xml:space="preserve">movie”与“i</w:t>
      </w:r>
      <w:r>
        <w:rPr>
          <w:rFonts w:ascii="Times New Roman" w:hAnsi="Times New Roman" w:cs="Times New Roman" w:eastAsia="宋体"/>
          <w:color w:val="000000"/>
          <w:sz w:val="24"/>
        </w:rPr>
        <w:t xml:space="preserve"> would not recommend </w:t>
      </w:r>
      <w:r>
        <w:rPr>
          <w:rFonts w:hint="eastAsia" w:ascii="Times New Roman" w:hAnsi="Times New Roman" w:cs="Times New Roman" w:eastAsia="宋体"/>
          <w:color w:val="000000"/>
          <w:sz w:val="24"/>
        </w:rPr>
        <w:t xml:space="preserve">it”，否定结构与转写内容一致；但各词元的贡献均小于0.004，高置信判断源于文本整体而非个别词元。样本02的文本中同时存在</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happiness（+0.0255）与</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misery（−0.0541）两类方向相反的证据，视觉贡献为−0.1327，三类概率近乎均等，人工回看亦无法确定其情感倾向，与模型的低置信状态相符。样本14的视觉贡献为+0.1702，远高于文本（+0.0094）；视觉rank-1窗口位于重建时间8.87～10.35</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s，对应关键帧中讲者面带微笑，而文本为人物履历介绍，情感上呈中性。该样本的正向判断主要来源于视觉信号，与回看观察一致。</w:t>
      </w:r>
    </w:p>
    <w:bookmarkEnd w:id="44"/>
    <w:bookmarkEnd w:id="45"/>
    <w:bookmarkStart w:id="46" w:name="本章小结"/>
    <w:p>
      <w:pPr>
        <w:pStyle w:val="Heading2"/>
      </w:pPr>
      <w:r>
        <w:rPr>
          <w:rFonts w:ascii="Times New Roman" w:hAnsi="Times New Roman" w:cs="Times New Roman" w:eastAsia="黑体"/>
          <w:b/>
          <w:color w:val="000000"/>
          <w:sz w:val="28"/>
        </w:rPr>
        <w:t xml:space="preserve">7.3 </w:t>
      </w:r>
      <w:r>
        <w:rPr>
          <w:rFonts w:hint="eastAsia" w:ascii="Times New Roman" w:hAnsi="Times New Roman" w:cs="Times New Roman" w:eastAsia="黑体"/>
          <w:b/>
          <w:color w:val="000000"/>
          <w:sz w:val="28"/>
        </w:rPr>
        <w:t xml:space="preserve">本章小结</w:t>
      </w:r>
    </w:p>
    <w:p>
      <w:pPr>
        <w:pStyle w:val="FirstParagraph"/>
        <w:spacing w:before="0" w:after="0" w:line="360" w:lineRule="auto"/>
        <w:ind w:firstLine="480"/>
        <w:jc w:val="both"/>
      </w:pPr>
      <w:r>
        <w:rPr>
          <w:rFonts w:hint="eastAsia" w:ascii="Times New Roman" w:hAnsi="Times New Roman" w:cs="Times New Roman" w:eastAsia="宋体"/>
          <w:color w:val="000000"/>
          <w:sz w:val="24"/>
        </w:rPr>
        <w:t xml:space="preserve">本章以问题二冻结的</w:t>
      </w:r>
      <w:r>
        <w:rPr>
          <w:rFonts w:ascii="Times New Roman" w:hAnsi="Times New Roman" w:cs="Times New Roman" w:eastAsia="宋体"/>
          <w:color w:val="000000"/>
          <w:sz w:val="24"/>
        </w:rPr>
        <w:t xml:space="preserve"> </w:t>
      </w:r>
      <w:r>
        <w:rPr>
          <w:rStyle w:val="VerbatimChar"/>
          <w:rFonts w:ascii="Times New Roman" w:hAnsi="Times New Roman" w:cs="Times New Roman" w:eastAsia="宋体"/>
          <w:color w:val="000000"/>
          <w:sz w:val="24"/>
        </w:rPr>
        <w:t xml:space="preserve">static_concat</w:t>
      </w:r>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模型为对象，采用模态级与位置级遮蔽法对极性分类概率与情感强度两个输出进行事后解释，并将关键证据定位至文本词元、音频时间窗口与视频帧。主要结论如下。</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1）模型的判别能力主要来源于文本模态。验证集上文本分类贡献均值为0.3002，为音频（0.0136）与视觉（0.0170）的18～22倍；94.64%的样本文本贡献为正，82.0%的样本以文本为主要贡献模态，与第六章单模态基线及消融实验结论一致。音频与视觉贡献的分布跨越零点，以二者为主要模态的样本多为文本边际贡献微弱、整体置信度偏低的样本。</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（2）解释结果在置信度层面具有忠实性。遮蔽Top-K片段引起的概率下降显著大于遮蔽等长随机片段（配对差0.0385与0.0426，</w:t>
      </w:r>
      <m:oMath>
        <m:r>
          <m:t>p</m:t>
        </m:r>
        <m:r>
          <m:rPr>
            <m:sty m:val="p"/>
          </m:rPr>
          <m:t>&lt;</m:t>
        </m:r>
        <m:sSup>
          <m:e>
            <m:r>
              <m:t>10</m:t>
            </m:r>
          </m:e>
          <m:sup>
            <m:r>
              <m:rPr>
                <m:sty m:val="p"/>
              </m:rPr>
              <m:t>−</m:t>
            </m:r>
            <m:r>
              <m:t>48</m:t>
            </m:r>
          </m:sup>
        </m:sSup>
      </m:oMath>
      <w:r>
        <w:rPr>
          <w:rFonts w:hint="eastAsia" w:ascii="Times New Roman" w:hAnsi="Times New Roman" w:cs="Times New Roman" w:eastAsia="宋体"/>
          <w:color w:val="000000"/>
          <w:sz w:val="24"/>
        </w:rPr>
        <w:t xml:space="preserve">），但二者的类别翻转率无差异，类别翻转主要取决于样本与决策边界的距离；分模态检验表明，忠实性主要体现于文本，视觉组接近于零。在同一冻结模型下，解释结果对窗口平移（Spearman秩相关不低于0.95）与</w:t>
      </w:r>
      <w:r>
        <w:rPr>
          <w:rFonts w:ascii="Times New Roman" w:hAnsi="Times New Roman" w:cs="Times New Roman" w:eastAsia="宋体"/>
          <w:color w:val="000000"/>
          <w:sz w:val="24"/>
        </w:rPr>
        <w:t xml:space="preserve"> </w:t>
      </w:r>
      <m:oMath>
        <m:r>
          <m:t>σ</m:t>
        </m:r>
        <m:r>
          <m:rPr>
            <m:sty m:val="p"/>
          </m:rPr>
          <m:t>=</m:t>
        </m:r>
        <m:r>
          <m:t>0.5</m:t>
        </m:r>
      </m:oMath>
      <w:r>
        <w:rPr>
          <w:rFonts w:ascii="Times New Roman" w:hAnsi="Times New Roman" w:cs="Times New Roman" w:eastAsia="宋体"/>
          <w:color w:val="000000"/>
          <w:sz w:val="24"/>
        </w:rPr>
        <w:t xml:space="preserve"> </w:t>
      </w:r>
      <w:r>
        <w:rPr>
          <w:rFonts w:hint="eastAsia" w:ascii="Times New Roman" w:hAnsi="Times New Roman" w:cs="Times New Roman" w:eastAsia="宋体"/>
          <w:color w:val="000000"/>
          <w:sz w:val="24"/>
        </w:rPr>
        <w:t xml:space="preserve">的输入扰动（符号一致率0.9679）具有较好的稳健性。</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3）对附件4的20条无标签样本，模型预测负向6条、中性1条、正向13条，最大类别概率均值为0.7207。关键证据经AI辅助回看与人工复核，均未发现明显的时间错位；负向预测大多获得内容支撑，而13条正向预测中有4条缺乏支撑，提示模型在文本证据不足时存在正向偏置倾向。</w:t>
      </w:r>
    </w:p>
    <w:p>
      <w:pPr>
        <w:pStyle w:val="BodyText"/>
        <w:spacing w:before="0" w:after="0" w:line="360" w:lineRule="auto"/>
        <w:ind w:firstLine="480"/>
        <w:jc w:val="both"/>
      </w:pPr>
      <w:r>
        <w:rPr>
          <w:rFonts w:hint="eastAsia" w:ascii="Times New Roman" w:hAnsi="Times New Roman" w:cs="Times New Roman" w:eastAsia="宋体"/>
          <w:color w:val="000000"/>
          <w:sz w:val="24"/>
        </w:rPr>
        <w:t xml:space="preserve">上述结论存在以下适用边界。贡献为相对遮蔽基线的边际效应，不具有因果含义，且三模态贡献不满足可加性；附件4的时间与帧号为按有效跨度重建的近似位置，而非原始时间戳；全部解释基于单一冻结权重，未开展多训练种子实验，无法判断解释结果在不同种子间的一致性；附件4缺少标签，本章结果仅能说明模型的决策依据及其证据位置，不能替代监督评价，也不能用于推断附件4的真实类别分布。</w:t>
      </w:r>
    </w:p>
    <w:bookmarkEnd w:id="46"/>
    <w:bookmarkStart w:id="47" w:name="本章参考文献"/>
    <w:p>
      <w:pPr>
        <w:pStyle w:val="Heading2"/>
      </w:pPr>
      <w:r>
        <w:rPr>
          <w:rFonts w:hint="eastAsia" w:ascii="Times New Roman" w:hAnsi="Times New Roman" w:cs="Times New Roman" w:eastAsia="黑体"/>
          <w:b/>
          <w:color w:val="000000"/>
          <w:sz w:val="28"/>
        </w:rPr>
        <w:t xml:space="preserve">本章参考文献</w:t>
      </w:r>
    </w:p>
    <w:p>
      <w:pPr>
        <w:pStyle w:val="FirstParagraph"/>
        <w:spacing w:before="0" w:after="120" w:line="300" w:lineRule="auto"/>
        <w:ind w:firstLine="0"/>
      </w:pPr>
      <w:r>
        <w:rPr>
          <w:rFonts w:hint="eastAsia" w:ascii="Times New Roman" w:hAnsi="Times New Roman" w:cs="Times New Roman" w:eastAsia="宋体"/>
          <w:color w:val="000000"/>
          <w:sz w:val="21"/>
        </w:rPr>
        <w:t xml:space="preserve">（编号为本章临时编号，并入全文参考文献时请统一重编。）</w:t>
      </w:r>
    </w:p>
    <w:p>
      <w:pPr>
        <w:pStyle w:val="BodyText"/>
        <w:spacing w:before="0" w:after="0" w:line="300" w:lineRule="auto"/>
        <w:ind w:left="420" w:hanging="420"/>
      </w:pPr>
      <w:r>
        <w:rPr>
          <w:rFonts w:ascii="Times New Roman" w:hAnsi="Times New Roman" w:cs="Times New Roman" w:eastAsia="宋体"/>
          <w:color w:val="000000"/>
          <w:sz w:val="21"/>
        </w:rPr>
        <w:t xml:space="preserve">[1] Zeiler M D, Fergus R. Visualizing and understanding convolutional networks[C]//European Conference on Computer Vision. Cham: Springer, 2014: 818-833.</w:t>
      </w:r>
    </w:p>
    <w:p>
      <w:pPr>
        <w:pStyle w:val="BodyText"/>
        <w:spacing w:before="0" w:after="0" w:line="300" w:lineRule="auto"/>
        <w:ind w:left="420" w:hanging="420"/>
      </w:pPr>
      <w:r>
        <w:rPr>
          <w:rFonts w:ascii="Times New Roman" w:hAnsi="Times New Roman" w:cs="Times New Roman" w:eastAsia="宋体"/>
          <w:color w:val="000000"/>
          <w:sz w:val="21"/>
        </w:rPr>
        <w:t xml:space="preserve">[2] Lundberg S M, Lee S I. A unified approach to interpreting model predictions[C]//Advances in Neural Information Processing Systems 30. 2017: 4765-4774.</w:t>
      </w:r>
    </w:p>
    <w:p>
      <w:pPr>
        <w:pStyle w:val="BodyText"/>
        <w:spacing w:before="0" w:after="0" w:line="300" w:lineRule="auto"/>
        <w:ind w:left="420" w:hanging="420"/>
      </w:pPr>
      <w:r>
        <w:rPr>
          <w:rFonts w:ascii="Times New Roman" w:hAnsi="Times New Roman" w:cs="Times New Roman" w:eastAsia="宋体"/>
          <w:color w:val="000000"/>
          <w:sz w:val="21"/>
        </w:rPr>
        <w:t xml:space="preserve">[3] Hooker S, Erhan D, Kindermans P J, et al. A benchmark for interpretability methods in deep neural networks[C]//Advances in Neural Information Processing Systems 32. 2019.</w:t>
      </w:r>
    </w:p>
    <w:p>
      <w:pPr>
        <w:pStyle w:val="BodyText"/>
        <w:spacing w:before="0" w:after="0" w:line="300" w:lineRule="auto"/>
        <w:ind w:left="420" w:hanging="420"/>
      </w:pPr>
      <w:r>
        <w:rPr>
          <w:rFonts w:ascii="Times New Roman" w:hAnsi="Times New Roman" w:cs="Times New Roman" w:eastAsia="宋体"/>
          <w:color w:val="000000"/>
          <w:sz w:val="21"/>
        </w:rPr>
        <w:t xml:space="preserve">[4] DeYoung J, Jain S, Rajani N F, et al. ERASER: A benchmark to evaluate rationalized NLP models[C]//Proceedings of the 58th Annual Meeting of the Association for Computational Linguistics. 2020: 4443-4458.</w:t>
      </w:r>
    </w:p>
    <w:p>
      <w:pPr>
        <w:pStyle w:val="BodyText"/>
        <w:spacing w:before="0" w:after="0" w:line="300" w:lineRule="auto"/>
        <w:ind w:left="420" w:hanging="420"/>
      </w:pPr>
      <w:r>
        <w:rPr>
          <w:rFonts w:ascii="Times New Roman" w:hAnsi="Times New Roman" w:cs="Times New Roman" w:eastAsia="宋体"/>
          <w:color w:val="000000"/>
          <w:sz w:val="21"/>
        </w:rPr>
        <w:t xml:space="preserve">[5] Alvarez-Melis D, Jaakkola T S. On the robustness of interpretability methods[EB/OL]. arXiv:1806.08049, 2018.</w:t>
      </w:r>
    </w:p>
    <w:p>
      <w:pPr>
        <w:pStyle w:val="BodyText"/>
        <w:spacing w:before="0" w:after="0" w:line="300" w:lineRule="auto"/>
        <w:ind w:left="420" w:hanging="420"/>
      </w:pPr>
      <w:r>
        <w:rPr>
          <w:rFonts w:ascii="Times New Roman" w:hAnsi="Times New Roman" w:cs="Times New Roman" w:eastAsia="宋体"/>
          <w:color w:val="000000"/>
          <w:sz w:val="21"/>
        </w:rPr>
        <w:t xml:space="preserve">[6] Wilcoxon F. Individual comparisons by ranking methods[J]. Biometrics Bulletin, 1945, 1(6): 80-83.</w:t>
      </w:r>
    </w:p>
    <w:bookmarkEnd w:id="47"/>
    <w:bookmarkEnd w:id="48"/>
    <w:sectPr>
      <w:footerReference w:type="default" r:id="rId9"/>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宋体"/>
        <w:color w:val="000000"/>
        <w:sz w:val="21"/>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宋体"/>
      <w:color w:val="000000"/>
      <w:sz w:val="24"/>
    </w:rPr>
  </w:style>
  <w:style w:styleId="BodyText" w:type="paragraph">
    <w:name w:val="Body Text"/>
    <w:basedOn w:val="Normal"/>
    <w:link w:val="BodyTextChar"/>
    <w:qFormat/>
    <w:pPr>
      <w:spacing w:after="180" w:before="180"/>
    </w:pPr>
    <w:rPr>
      <w:rFonts w:ascii="Times New Roman" w:hAnsi="Times New Roman" w:cs="Times New Roman" w:eastAsia="宋体"/>
      <w:color w:val="000000"/>
      <w:sz w:val="24"/>
    </w:rPr>
  </w:style>
  <w:style w:customStyle="1" w:styleId="FirstParagraph" w:type="paragraph">
    <w:name w:val="First Paragraph"/>
    <w:basedOn w:val="BodyText"/>
    <w:next w:val="BodyText"/>
    <w:qFormat/>
    <w:rPr>
      <w:rFonts w:ascii="Times New Roman" w:hAnsi="Times New Roman" w:cs="Times New Roman" w:eastAsia="宋体"/>
      <w:color w:val="000000"/>
      <w:sz w:val="24"/>
    </w:rPr>
  </w:style>
  <w:style w:customStyle="1" w:styleId="Compact" w:type="paragraph">
    <w:name w:val="Compact"/>
    <w:basedOn w:val="BodyText"/>
    <w:qFormat/>
    <w:pPr>
      <w:spacing w:after="36" w:before="36"/>
    </w:pPr>
    <w:rPr>
      <w:rFonts w:ascii="Times New Roman" w:hAnsi="Times New Roman" w:cs="Times New Roman" w:eastAsia="宋体"/>
      <w:color w:val="000000"/>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240" w:line="360" w:lineRule="auto"/>
      <w:ind w:firstLine="0"/>
      <w:jc w:val="center"/>
      <w:outlineLvl w:val="0"/>
    </w:pPr>
    <w:rPr>
      <w:rFonts w:ascii="Times New Roman" w:hAnsi="Times New Roman" w:cs="Times New Roman" w:eastAsia="黑体"/>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360" w:lineRule="auto"/>
      <w:ind w:firstLine="0"/>
      <w:jc w:val="left"/>
      <w:outlineLvl w:val="1"/>
    </w:pPr>
    <w:rPr>
      <w:rFonts w:ascii="Times New Roman" w:hAnsi="Times New Roman" w:cs="Times New Roman" w:eastAsia="黑体"/>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120" w:line="360" w:lineRule="auto"/>
      <w:ind w:firstLine="0"/>
      <w:jc w:val="left"/>
      <w:outlineLvl w:val="2"/>
    </w:pPr>
    <w:rPr>
      <w:rFonts w:ascii="Times New Roman" w:hAnsi="Times New Roman" w:cs="Times New Roman" w:eastAsia="黑体"/>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20" Type="http://schemas.openxmlformats.org/officeDocument/2006/relationships/image" Target="media/rId20.png"/><Relationship Id="rId23" Type="http://schemas.openxmlformats.org/officeDocument/2006/relationships/image" Target="media/rId23.png"/><Relationship Id="rId27" Type="http://schemas.openxmlformats.org/officeDocument/2006/relationships/image" Target="media/rId27.png"/><Relationship Id="rId31" Type="http://schemas.openxmlformats.org/officeDocument/2006/relationships/image" Target="media/rId31.png"/><Relationship Id="rId34" Type="http://schemas.openxmlformats.org/officeDocument/2006/relationships/image" Target="media/rId34.png"/><Relationship Id="rId38" Type="http://schemas.openxmlformats.org/officeDocument/2006/relationships/image" Target="media/rId38.png"/><Relationship Id="rId41" Type="http://schemas.openxmlformats.org/officeDocument/2006/relationships/image" Target="media/rId41.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2026-09-26T12:09:51Z</dcterms:created>
  <dcterms:modified xsi:type="dcterms:W3CDTF">2026-09-26T12:09:51Z</dcterms:modified>
</cp:coreProperties>
</file>

<file path=docProps/custom.xml><?xml version="1.0" encoding="utf-8"?>
<Properties xmlns="http://schemas.openxmlformats.org/officeDocument/2006/custom-properties" xmlns:vt="http://schemas.openxmlformats.org/officeDocument/2006/docPropsVTypes"/>
</file>