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东软环保公众监督系统</w:t>
        <w:br/>
        <w:t>需求规格说明书</w:t>
      </w:r>
    </w:p>
    <w:p>
      <w:pPr>
        <w:pStyle w:val="Heading1"/>
      </w:pPr>
      <w:r>
        <w:t>1. 项目背景</w:t>
      </w:r>
    </w:p>
    <w:p>
      <w:r>
        <w:t>随着环境污染问题日益受到社会关注，公众参与环保监督成为提升环境治理效率的重要手段。东软环保公众监督系统旨在构建一个网格化的空气质量（AQI）公众监督平台，通过公众监督员、网格员、系统管理员和决策者四类角色的协同工作，形成"反馈—指派—检测—统计—决策"的闭环监督流程。</w:t>
      </w:r>
    </w:p>
    <w:p>
      <w:pPr>
        <w:pStyle w:val="Heading1"/>
      </w:pPr>
      <w:r>
        <w:t>2. 建设目标</w:t>
      </w:r>
    </w:p>
    <w:p>
      <w:r>
        <w:t>（1）建立公众参与环保监督的信息化渠道，鼓励公众主动反馈空气质量问题。</w:t>
      </w:r>
    </w:p>
    <w:p>
      <w:r>
        <w:t>（2）实现网格化管理，将监督反馈精准指派至对应区域的网格员进行实地检测。</w:t>
      </w:r>
    </w:p>
    <w:p>
      <w:r>
        <w:t>（3）形成AQI监测数据的采集、确认、统计和可视化展示闭环。</w:t>
      </w:r>
    </w:p>
    <w:p>
      <w:r>
        <w:t>（4）为决策者提供基于实测数据的统计分析和大屏可视化支持。</w:t>
      </w:r>
    </w:p>
    <w:p>
      <w:pPr>
        <w:pStyle w:val="Heading1"/>
      </w:pPr>
      <w:r>
        <w:t>3. 功能需求</w:t>
      </w:r>
    </w:p>
    <w:p>
      <w:pPr>
        <w:pStyle w:val="Heading2"/>
      </w:pPr>
      <w:r>
        <w:t>3.1 公众监督员</w:t>
      </w:r>
    </w:p>
    <w:p>
      <w:r>
        <w:t>注册与登录；选择网格地址（省/市/网格）；提交AQI监督反馈（预估级别、描述、图片）。</w:t>
      </w:r>
    </w:p>
    <w:p>
      <w:pPr>
        <w:pStyle w:val="Heading2"/>
      </w:pPr>
      <w:r>
        <w:t>3.2 系统管理员</w:t>
      </w:r>
    </w:p>
    <w:p>
      <w:r>
        <w:t>登录系统；查询公众监督员反馈列表；查看反馈详情；指派网格员；查询AQI实测数据。</w:t>
      </w:r>
    </w:p>
    <w:p>
      <w:pPr>
        <w:pStyle w:val="Heading2"/>
      </w:pPr>
      <w:r>
        <w:t>3.3 网格员</w:t>
      </w:r>
    </w:p>
    <w:p>
      <w:r>
        <w:t>登录系统；查询指派给自己的监督信息列表；实地检测并确认指派网格的AQI数据。</w:t>
      </w:r>
    </w:p>
    <w:p>
      <w:pPr>
        <w:pStyle w:val="Heading2"/>
      </w:pPr>
      <w:r>
        <w:t>3.4 决策者</w:t>
      </w:r>
    </w:p>
    <w:p>
      <w:r>
        <w:t>查询AQI实测数据；生成统计数据；根据统计数据生成可视化大屏。</w:t>
      </w:r>
    </w:p>
    <w:p>
      <w:pPr>
        <w:pStyle w:val="Heading1"/>
      </w:pPr>
      <w:r>
        <w:t>4. 非功能需求</w:t>
      </w:r>
    </w:p>
    <w:p>
      <w:r>
        <w:t>（1）性能：系统应支持100个并发用户同时在线操作。</w:t>
      </w:r>
    </w:p>
    <w:p>
      <w:r>
        <w:t>（2）安全：采用Token鉴权机制，敏感接口需验证登录状态。</w:t>
      </w:r>
    </w:p>
    <w:p>
      <w:r>
        <w:t>（3）可用性：界面简洁友好，移动端适配公众监督员和网格员使用场景。</w:t>
      </w:r>
    </w:p>
    <w:p>
      <w:r>
        <w:t>（4）可维护性：前后端分离架构，接口规范统一，便于扩展。</w:t>
      </w:r>
    </w:p>
    <w:p>
      <w:pPr>
        <w:pStyle w:val="Heading1"/>
      </w:pPr>
      <w:r>
        <w:t>5. 软硬件环境</w:t>
      </w:r>
    </w:p>
    <w:p>
      <w:r>
        <w:t>客户端：Chrome/Firefox/Edge 现代浏览器；移动端浏览器。</w:t>
      </w:r>
    </w:p>
    <w:p>
      <w:r>
        <w:t>服务端：JDK 8+、Spring Boot 2.7、MyBatis、MySQL 8.0。</w:t>
      </w:r>
    </w:p>
    <w:p>
      <w:r>
        <w:t>前端：Vue 3、Vite、Element Plus、Pinia、Vue Router、Axios。</w:t>
      </w:r>
    </w:p>
    <w:p>
      <w:r>
        <w:t>开发工具：IntelliJ IDEA、VS Code/Cursor、Maven、Node.js。</w:t>
      </w:r>
    </w:p>
    <w:p>
      <w:pPr>
        <w:pStyle w:val="Heading1"/>
      </w:pPr>
      <w:r>
        <w:t>6. 模块细分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模块名称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认证模块</w:t>
            </w:r>
          </w:p>
        </w:tc>
        <w:tc>
          <w:tcPr>
            <w:tcW w:type="dxa" w:w="4320"/>
          </w:tcPr>
          <w:p>
            <w:r>
              <w:t>管理员/监督员/网格员登录注册</w:t>
            </w:r>
          </w:p>
        </w:tc>
      </w:tr>
      <w:tr>
        <w:tc>
          <w:tcPr>
            <w:tcW w:type="dxa" w:w="4320"/>
          </w:tcPr>
          <w:p>
            <w:r>
              <w:t>反馈模块</w:t>
            </w:r>
          </w:p>
        </w:tc>
        <w:tc>
          <w:tcPr>
            <w:tcW w:type="dxa" w:w="4320"/>
          </w:tcPr>
          <w:p>
            <w:r>
              <w:t>公众监督员提交AQI监督反馈</w:t>
            </w:r>
          </w:p>
        </w:tc>
      </w:tr>
      <w:tr>
        <w:tc>
          <w:tcPr>
            <w:tcW w:type="dxa" w:w="4320"/>
          </w:tcPr>
          <w:p>
            <w:r>
              <w:t>指派模块</w:t>
            </w:r>
          </w:p>
        </w:tc>
        <w:tc>
          <w:tcPr>
            <w:tcW w:type="dxa" w:w="4320"/>
          </w:tcPr>
          <w:p>
            <w:r>
              <w:t>管理员查询反馈并指派网格员</w:t>
            </w:r>
          </w:p>
        </w:tc>
      </w:tr>
      <w:tr>
        <w:tc>
          <w:tcPr>
            <w:tcW w:type="dxa" w:w="4320"/>
          </w:tcPr>
          <w:p>
            <w:r>
              <w:t>检测确认模块</w:t>
            </w:r>
          </w:p>
        </w:tc>
        <w:tc>
          <w:tcPr>
            <w:tcW w:type="dxa" w:w="4320"/>
          </w:tcPr>
          <w:p>
            <w:r>
              <w:t>网格员实地检测并确认AQI数据</w:t>
            </w:r>
          </w:p>
        </w:tc>
      </w:tr>
      <w:tr>
        <w:tc>
          <w:tcPr>
            <w:tcW w:type="dxa" w:w="4320"/>
          </w:tcPr>
          <w:p>
            <w:r>
              <w:t>统计模块</w:t>
            </w:r>
          </w:p>
        </w:tc>
        <w:tc>
          <w:tcPr>
            <w:tcW w:type="dxa" w:w="4320"/>
          </w:tcPr>
          <w:p>
            <w:r>
              <w:t>AQI数据统计与汇总</w:t>
            </w:r>
          </w:p>
        </w:tc>
      </w:tr>
      <w:tr>
        <w:tc>
          <w:tcPr>
            <w:tcW w:type="dxa" w:w="4320"/>
          </w:tcPr>
          <w:p>
            <w:r>
              <w:t>可视化模块</w:t>
            </w:r>
          </w:p>
        </w:tc>
        <w:tc>
          <w:tcPr>
            <w:tcW w:type="dxa" w:w="4320"/>
          </w:tcPr>
          <w:p>
            <w:r>
              <w:t>决策者大屏展示</w:t>
            </w:r>
          </w:p>
        </w:tc>
      </w:tr>
    </w:tbl>
    <w:p/>
    <w:p>
      <w:pPr>
        <w:pStyle w:val="Heading1"/>
      </w:pPr>
      <w:r>
        <w:t>7. 业务流程</w:t>
      </w:r>
    </w:p>
    <w:p>
      <w:r>
        <w:t>系统主业务流程如下：公众监督员注册登录后选择网格并提交反馈；管理员查询反馈并指派网格员；网格员查询指派信息并实地检测确认AQI；决策者基于实测数据生成统计和可视化大屏。</w:t>
      </w:r>
    </w:p>
    <w:p>
      <w:r>
        <w:drawing>
          <wp:inline xmlns:a="http://schemas.openxmlformats.org/drawingml/2006/main" xmlns:pic="http://schemas.openxmlformats.org/drawingml/2006/picture">
            <wp:extent cx="4572000" cy="360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业务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06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25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众反馈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25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网格员确认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251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管理员指派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572000" cy="3251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统计看板流程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8. 原型概述</w:t>
      </w:r>
    </w:p>
    <w:p>
      <w:r>
        <w:t>系统包含三个终端：系统管理员端（Web后台）、公众监督员端（移动端）、网格员端（移动端）。</w:t>
      </w:r>
    </w:p>
    <w:p>
      <w:r>
        <w:t>管理员登录页面：</w:t>
      </w:r>
    </w:p>
    <w:p>
      <w:r>
        <w:drawing>
          <wp:inline xmlns:a="http://schemas.openxmlformats.org/drawingml/2006/main" xmlns:pic="http://schemas.openxmlformats.org/drawingml/2006/picture">
            <wp:extent cx="2743200" cy="1714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管理员端-登录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反馈列表页面：</w:t>
      </w:r>
    </w:p>
    <w:p>
      <w:r>
        <w:drawing>
          <wp:inline xmlns:a="http://schemas.openxmlformats.org/drawingml/2006/main" xmlns:pic="http://schemas.openxmlformats.org/drawingml/2006/picture">
            <wp:extent cx="2743200" cy="1714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管理员端-反馈列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监督员登录页面：</w:t>
      </w:r>
    </w:p>
    <w:p>
      <w:r>
        <w:drawing>
          <wp:inline xmlns:a="http://schemas.openxmlformats.org/drawingml/2006/main" xmlns:pic="http://schemas.openxmlformats.org/drawingml/2006/picture">
            <wp:extent cx="2743200" cy="59399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众监督员端-登录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提交反馈页面：</w:t>
      </w:r>
    </w:p>
    <w:p>
      <w:r>
        <w:drawing>
          <wp:inline xmlns:a="http://schemas.openxmlformats.org/drawingml/2006/main" xmlns:pic="http://schemas.openxmlformats.org/drawingml/2006/picture">
            <wp:extent cx="2743200" cy="59399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公众监督员端-提交反馈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网格员指派列表：</w:t>
      </w:r>
    </w:p>
    <w:p>
      <w:r>
        <w:drawing>
          <wp:inline xmlns:a="http://schemas.openxmlformats.org/drawingml/2006/main" xmlns:pic="http://schemas.openxmlformats.org/drawingml/2006/picture">
            <wp:extent cx="2743200" cy="59399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网格员端-指派列表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网格员确认AQI页面：</w:t>
      </w:r>
    </w:p>
    <w:p>
      <w:r>
        <w:drawing>
          <wp:inline xmlns:a="http://schemas.openxmlformats.org/drawingml/2006/main" xmlns:pic="http://schemas.openxmlformats.org/drawingml/2006/picture">
            <wp:extent cx="2743200" cy="593994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网格员端-确认AQI数据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9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