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V2.7（工程二审修订与可验收MVP基线版）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工程二审完成；MVP范围、硬件接口、云端边界与里程碑待按本版冻结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最终版保留甲烷、CO、烟雾和氧气；MVP不以其到货或标定作为阻塞条件。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专用模块仅采集环境基线；异常演示只允许隔离信号模拟或合规烟感测试气雾，不得将演示等同于安全认证或教室危险气体试验。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两段式实体可通过普通教室门并由两人搬运；Web平台提供Windows启动脚本和Docker可选方案。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实施技术栈以本节技术选型表为准。图2保留为分层与数据流概念图，其中早期的Vue/Express/SQLite文字已由V2.7统一为React/Fastify/PostgreSQL，不再作为实施依据。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ESP-AT（本地MQTT）+ 本地网关转发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STM32经UART接入本地Broker；网关负责与华为云IoTDA的安全上行。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ESP-AT不作为IoTDA MQTTS直连终端；如必须设备直连，改用经验证支持TLS的通信模块。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Node.js + Fastify + MQTT适配层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与当前仓库实现一致；提供鉴权、告警、工单、审计和实时推送。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不在MVP引入微服务、集群或云端复杂规则引擎。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浏览器本地演示数据 + PostgreSQL（本地/API与华为云RDS）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与当前平台一致；PostgreSQL是正式业务数据的唯一主数据库。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删除SQLite正式数据表述；RDS只允许私网TLS连接。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 + TypeScript + Vinext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与当前仓库实现一致，保留本地演示与API数据源切换。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文档、部署说明和答辩材料必须同步，不再保留Vue 3表述。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统一为React、Fastify、PostgreSQL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约1400 × 650 × 550 mm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适合教室长桌；两段各约700 mm，便于运输和维护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单舱剖视、三纵向区域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范围聚焦综合管廊，不构造其他独立系统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透明亚克力罩 + 可拆检修门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展示内部管线和联动，不让观众接触滴水盘与电路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两段式封闭底座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隐藏电源分配和控制箱；B区设置独立高边接水盘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目标不超过25 kg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两人可搬运；最终以加工图和材料实重核算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本样品是干燥管廊，不运行循环水工艺。水浸/水位用于顶板/侧壁少量受控渗水演示；高水位浮球用于防溢出保护，因此不采购流量计、循环泵或电磁阀。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ESP-AT非阻塞状态机、重连、心跳、cmdId去重、命令过期和回执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"LEAK-G01.ch4":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"SEEP-W01.wet":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STM32→本地MQTT→Fastify/PostgreSQL→React/三维→工单→回执真实贯通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STM32→ESP8266→本地Mosquitto→Fastify/PostgreSQL→React→三维→工单完成真实链路运行。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先简模验证；两段式设计；提供可手工修正孔位和备用支架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HC-05蓝牙串口模块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不纳入MVP核心链路；UART接入前按模块板级要求做3.3V电平适配，并确认供电和AT命令。核心通信仍采用ESP8266+MQTT。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仍需采购：甲烷、CO、氧气专用传感器，SHT30/SHT3x（核心温湿度）、ESP8266、浮球高水位、烟感、高边接水盘、滴水器、吸水材料及隔离信号模拟盒。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V2.7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</dc:title>
  <dc:subject>综合管廊数字孪生运维实体样品项目计划书 V2.7</dc:subject>
  <dc:creator>综合管廊项目组</dc:creator>
  <cp:keywords>综合管廊, STM32, 数字孪生, 物联网, 三维可视化, 运维</cp:keywords>
  <dc:description>V2.7：依据工程二审修正MVP、接口、电源与云端接入边界。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